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附件1</w:t>
      </w:r>
    </w:p>
    <w:p>
      <w:pPr>
        <w:spacing w:line="560" w:lineRule="exact"/>
        <w:jc w:val="center"/>
        <w:outlineLvl w:val="0"/>
        <w:rPr>
          <w:rFonts w:hint="default" w:ascii="Times New Roman" w:hAnsi="Times New Roman" w:eastAsia="方正小标宋简体" w:cs="Times New Roman"/>
          <w:sz w:val="44"/>
          <w:highlight w:val="none"/>
        </w:rPr>
      </w:pPr>
      <w:r>
        <w:rPr>
          <w:rFonts w:hint="default" w:ascii="Times New Roman" w:hAnsi="Times New Roman" w:eastAsia="方正小标宋简体" w:cs="Times New Roman"/>
          <w:sz w:val="44"/>
          <w:highlight w:val="none"/>
        </w:rPr>
        <w:t>郑州医药健康职业学院</w:t>
      </w:r>
    </w:p>
    <w:p>
      <w:pPr>
        <w:spacing w:line="560" w:lineRule="exact"/>
        <w:jc w:val="center"/>
        <w:outlineLvl w:val="0"/>
        <w:rPr>
          <w:rFonts w:hint="default" w:ascii="Times New Roman" w:hAnsi="Times New Roman" w:eastAsia="方正小标宋简体" w:cs="Times New Roman"/>
          <w:sz w:val="44"/>
          <w:highlight w:val="none"/>
        </w:rPr>
      </w:pPr>
      <w:r>
        <w:rPr>
          <w:rFonts w:hint="default" w:ascii="Times New Roman" w:hAnsi="Times New Roman" w:eastAsia="方正小标宋简体" w:cs="Times New Roman"/>
          <w:sz w:val="44"/>
          <w:highlight w:val="none"/>
        </w:rPr>
        <w:t>“十四五”发展规划</w:t>
      </w:r>
    </w:p>
    <w:p>
      <w:pPr>
        <w:spacing w:line="560" w:lineRule="exact"/>
        <w:ind w:firstLine="420"/>
        <w:jc w:val="left"/>
        <w:rPr>
          <w:rFonts w:hint="default" w:ascii="Times New Roman" w:hAnsi="Times New Roman" w:eastAsia="方正小标宋简体" w:cs="Times New Roman"/>
          <w:sz w:val="32"/>
          <w:highlight w:val="none"/>
        </w:rPr>
      </w:pPr>
    </w:p>
    <w:p>
      <w:pPr>
        <w:spacing w:line="560" w:lineRule="exact"/>
        <w:ind w:firstLine="640"/>
        <w:jc w:val="both"/>
        <w:rPr>
          <w:rFonts w:hint="default"/>
          <w:highlight w:val="none"/>
        </w:rPr>
      </w:pPr>
      <w:r>
        <w:rPr>
          <w:rFonts w:hint="default" w:ascii="Times New Roman" w:hAnsi="Times New Roman" w:eastAsia="仿宋_GB2312" w:cs="Times New Roman"/>
          <w:sz w:val="32"/>
          <w:highlight w:val="none"/>
        </w:rPr>
        <w:t>“十四五”时期是我国教育、</w:t>
      </w:r>
      <w:r>
        <w:rPr>
          <w:rFonts w:hint="default" w:ascii="Times New Roman" w:hAnsi="Times New Roman" w:eastAsia="仿宋_GB2312" w:cs="Times New Roman"/>
          <w:color w:val="000000"/>
          <w:sz w:val="32"/>
          <w:highlight w:val="none"/>
        </w:rPr>
        <w:t>卫生健康</w:t>
      </w:r>
      <w:r>
        <w:rPr>
          <w:rFonts w:hint="default" w:ascii="Times New Roman" w:hAnsi="Times New Roman" w:eastAsia="仿宋_GB2312" w:cs="Times New Roman"/>
          <w:sz w:val="32"/>
          <w:highlight w:val="none"/>
        </w:rPr>
        <w:t>事业改革发展的关键时期，也是学校谱写新时代医药健康事业发展新篇章的战略机遇期。为深入贯彻党的十九大、十九届历次全会精神和习近平总书记关于教育事业改革发展的重要论述，认真落实省第十一次党代会精神，根据《国家教育事业发展“十四五”规划》《河南省国民经济和社会发展第十四个五年规划和二〇三五年远景目标纲要》《河南省“十四五”教育事业发展规划》，结合“十四五”时期学校面临的新形势、新任务、新要求，制定本规划。</w:t>
      </w:r>
    </w:p>
    <w:p>
      <w:pPr>
        <w:spacing w:line="560" w:lineRule="exact"/>
        <w:ind w:firstLine="640"/>
        <w:jc w:val="both"/>
        <w:outlineLvl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一、发展基础</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学校是2021年2月经河南省人民政府批准、教育部备案正式成立的全日制学历教育的高等职业院校。新起点、新学校、新开篇、新机遇。学校将在原有培训教育和中等职业教育教学的基础上，以建校元年为契机，以十九届六中全会精神为指引，开启郑州医药健康职业学院（以下简称郑医）高质量、特色、快速、健康发展</w:t>
      </w:r>
      <w:r>
        <w:rPr>
          <w:rFonts w:hint="default" w:ascii="Times New Roman" w:hAnsi="Times New Roman" w:eastAsia="仿宋_GB2312" w:cs="Times New Roman"/>
          <w:sz w:val="32"/>
          <w:highlight w:val="none"/>
          <w:lang w:eastAsia="zh-CN"/>
        </w:rPr>
        <w:t>新篇章</w:t>
      </w:r>
      <w:r>
        <w:rPr>
          <w:rFonts w:hint="default" w:ascii="Times New Roman" w:hAnsi="Times New Roman" w:eastAsia="仿宋_GB2312" w:cs="Times New Roman"/>
          <w:sz w:val="32"/>
          <w:highlight w:val="none"/>
        </w:rPr>
        <w:t>。</w:t>
      </w:r>
    </w:p>
    <w:p>
      <w:pPr>
        <w:numPr>
          <w:ilvl w:val="0"/>
          <w:numId w:val="0"/>
        </w:numPr>
        <w:spacing w:line="560" w:lineRule="exact"/>
        <w:ind w:firstLine="640" w:firstLineChars="200"/>
        <w:jc w:val="both"/>
        <w:rPr>
          <w:rFonts w:hint="default" w:ascii="Times New Roman" w:hAnsi="Times New Roman" w:eastAsia="仿宋_GB2312" w:cs="Times New Roman"/>
          <w:b w:val="0"/>
          <w:bCs w:val="0"/>
          <w:kern w:val="0"/>
          <w:sz w:val="32"/>
          <w:szCs w:val="22"/>
          <w:highlight w:val="none"/>
          <w:lang w:val="zh-TW" w:eastAsia="zh-CN"/>
        </w:rPr>
      </w:pPr>
      <w:r>
        <w:rPr>
          <w:rFonts w:hint="eastAsia" w:ascii="楷体_GB2312" w:hAnsi="楷体_GB2312" w:eastAsia="楷体_GB2312" w:cs="楷体_GB2312"/>
          <w:b w:val="0"/>
          <w:bCs w:val="0"/>
          <w:kern w:val="0"/>
          <w:sz w:val="32"/>
          <w:szCs w:val="22"/>
          <w:highlight w:val="none"/>
          <w:lang w:val="en-US" w:eastAsia="zh-CN"/>
        </w:rPr>
        <w:t>（一）政策基础</w:t>
      </w:r>
      <w:r>
        <w:rPr>
          <w:rFonts w:hint="eastAsia" w:ascii="楷体_GB2312" w:hAnsi="楷体_GB2312" w:eastAsia="楷体_GB2312" w:cs="楷体_GB2312"/>
          <w:b w:val="0"/>
          <w:bCs w:val="0"/>
          <w:kern w:val="0"/>
          <w:sz w:val="32"/>
          <w:szCs w:val="22"/>
          <w:highlight w:val="none"/>
          <w:lang w:val="zh-TW" w:eastAsia="zh-CN"/>
        </w:rPr>
        <w:t>。</w:t>
      </w:r>
      <w:r>
        <w:rPr>
          <w:rFonts w:hint="default" w:ascii="Times New Roman" w:hAnsi="Times New Roman" w:eastAsia="仿宋_GB2312" w:cs="Times New Roman"/>
          <w:b w:val="0"/>
          <w:bCs w:val="0"/>
          <w:kern w:val="0"/>
          <w:sz w:val="32"/>
          <w:szCs w:val="22"/>
          <w:highlight w:val="none"/>
          <w:lang w:val="zh-TW"/>
        </w:rPr>
        <w:t>河南省委省政府及</w:t>
      </w:r>
      <w:r>
        <w:rPr>
          <w:rFonts w:hint="default" w:ascii="Times New Roman" w:hAnsi="Times New Roman" w:eastAsia="仿宋_GB2312" w:cs="Times New Roman"/>
          <w:b w:val="0"/>
          <w:bCs w:val="0"/>
          <w:kern w:val="0"/>
          <w:sz w:val="32"/>
          <w:szCs w:val="22"/>
          <w:highlight w:val="none"/>
          <w:lang w:val="zh-TW" w:eastAsia="zh-CN"/>
        </w:rPr>
        <w:t>郑州</w:t>
      </w:r>
      <w:r>
        <w:rPr>
          <w:rFonts w:hint="default" w:ascii="Times New Roman" w:hAnsi="Times New Roman" w:eastAsia="仿宋_GB2312" w:cs="Times New Roman"/>
          <w:b w:val="0"/>
          <w:bCs w:val="0"/>
          <w:kern w:val="0"/>
          <w:sz w:val="32"/>
          <w:szCs w:val="22"/>
          <w:highlight w:val="none"/>
          <w:lang w:val="zh-TW"/>
        </w:rPr>
        <w:t>市委市政府坚持把教育放在优先发展战略地位，省</w:t>
      </w:r>
      <w:r>
        <w:rPr>
          <w:rFonts w:hint="default" w:ascii="Times New Roman" w:hAnsi="Times New Roman" w:eastAsia="仿宋_GB2312" w:cs="Times New Roman"/>
          <w:b w:val="0"/>
          <w:bCs w:val="0"/>
          <w:kern w:val="0"/>
          <w:sz w:val="32"/>
          <w:szCs w:val="22"/>
          <w:highlight w:val="none"/>
        </w:rPr>
        <w:t>政府</w:t>
      </w:r>
      <w:r>
        <w:rPr>
          <w:rFonts w:hint="default" w:ascii="Times New Roman" w:hAnsi="Times New Roman" w:eastAsia="仿宋_GB2312" w:cs="Times New Roman"/>
          <w:b w:val="0"/>
          <w:bCs w:val="0"/>
          <w:kern w:val="0"/>
          <w:sz w:val="32"/>
          <w:szCs w:val="22"/>
          <w:highlight w:val="none"/>
          <w:lang w:val="zh-TW"/>
        </w:rPr>
        <w:t>把设置郑州医药健康职业学院纳入河南省高等学校设置“十三五”规划，省发改委把学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zh-TW"/>
        </w:rPr>
        <w:t>基本建设列入</w:t>
      </w:r>
      <w:r>
        <w:rPr>
          <w:rFonts w:hint="default" w:ascii="Times New Roman" w:hAnsi="Times New Roman" w:eastAsia="仿宋_GB2312" w:cs="Times New Roman"/>
          <w:b w:val="0"/>
          <w:bCs w:val="0"/>
          <w:kern w:val="0"/>
          <w:sz w:val="32"/>
          <w:szCs w:val="22"/>
          <w:highlight w:val="none"/>
          <w:lang w:val="zh-TW" w:eastAsia="zh-TW"/>
        </w:rPr>
        <w:t>2019</w:t>
      </w:r>
      <w:r>
        <w:rPr>
          <w:rFonts w:hint="default" w:ascii="Times New Roman" w:hAnsi="Times New Roman" w:eastAsia="仿宋_GB2312" w:cs="Times New Roman"/>
          <w:b w:val="0"/>
          <w:bCs w:val="0"/>
          <w:kern w:val="0"/>
          <w:sz w:val="32"/>
          <w:szCs w:val="22"/>
          <w:highlight w:val="none"/>
          <w:lang w:val="zh-TW"/>
        </w:rPr>
        <w:t>年、</w:t>
      </w:r>
      <w:r>
        <w:rPr>
          <w:rFonts w:hint="default" w:ascii="Times New Roman" w:hAnsi="Times New Roman" w:eastAsia="仿宋_GB2312" w:cs="Times New Roman"/>
          <w:b w:val="0"/>
          <w:bCs w:val="0"/>
          <w:kern w:val="0"/>
          <w:sz w:val="32"/>
          <w:szCs w:val="22"/>
          <w:highlight w:val="none"/>
        </w:rPr>
        <w:t>2020年</w:t>
      </w:r>
      <w:r>
        <w:rPr>
          <w:rFonts w:hint="default" w:ascii="Times New Roman" w:hAnsi="Times New Roman" w:eastAsia="仿宋_GB2312" w:cs="Times New Roman"/>
          <w:b w:val="0"/>
          <w:bCs w:val="0"/>
          <w:kern w:val="0"/>
          <w:sz w:val="32"/>
          <w:szCs w:val="22"/>
          <w:highlight w:val="none"/>
          <w:lang w:eastAsia="zh-CN"/>
        </w:rPr>
        <w:t>、</w:t>
      </w:r>
      <w:r>
        <w:rPr>
          <w:rFonts w:hint="default" w:ascii="Times New Roman" w:hAnsi="Times New Roman" w:eastAsia="仿宋_GB2312" w:cs="Times New Roman"/>
          <w:b w:val="0"/>
          <w:bCs w:val="0"/>
          <w:kern w:val="0"/>
          <w:sz w:val="32"/>
          <w:szCs w:val="22"/>
          <w:highlight w:val="none"/>
          <w:lang w:val="en-US" w:eastAsia="zh-CN"/>
        </w:rPr>
        <w:t>2021年</w:t>
      </w:r>
      <w:r>
        <w:rPr>
          <w:rFonts w:hint="default" w:ascii="Times New Roman" w:hAnsi="Times New Roman" w:eastAsia="仿宋_GB2312" w:cs="Times New Roman"/>
          <w:b w:val="0"/>
          <w:bCs w:val="0"/>
          <w:kern w:val="0"/>
          <w:sz w:val="32"/>
          <w:szCs w:val="22"/>
          <w:highlight w:val="none"/>
          <w:lang w:val="zh-TW"/>
        </w:rPr>
        <w:t>省级重点建设项目，郑州市和新密市在用地、人才引进、资金、招生就业等方面给予大力支持</w:t>
      </w:r>
      <w:r>
        <w:rPr>
          <w:rFonts w:hint="default" w:ascii="Times New Roman" w:hAnsi="Times New Roman" w:eastAsia="仿宋_GB2312" w:cs="Times New Roman"/>
          <w:b w:val="0"/>
          <w:bCs w:val="0"/>
          <w:kern w:val="0"/>
          <w:sz w:val="32"/>
          <w:szCs w:val="22"/>
          <w:highlight w:val="none"/>
          <w:lang w:val="zh-TW" w:eastAsia="zh-CN"/>
        </w:rPr>
        <w:t>，省市各级领导多次亲临新校区指导工作。</w:t>
      </w:r>
    </w:p>
    <w:p>
      <w:pPr>
        <w:numPr>
          <w:ilvl w:val="0"/>
          <w:numId w:val="0"/>
        </w:numPr>
        <w:spacing w:line="560" w:lineRule="exact"/>
        <w:ind w:firstLine="640" w:firstLineChars="200"/>
        <w:jc w:val="both"/>
        <w:rPr>
          <w:rFonts w:hint="eastAsia" w:ascii="Times New Roman" w:hAnsi="Times New Roman" w:eastAsia="仿宋_GB2312" w:cs="Times New Roman"/>
          <w:b w:val="0"/>
          <w:bCs w:val="0"/>
          <w:kern w:val="0"/>
          <w:sz w:val="32"/>
          <w:szCs w:val="22"/>
          <w:highlight w:val="none"/>
          <w:lang w:val="zh-TW" w:eastAsia="zh-CN"/>
        </w:rPr>
      </w:pPr>
      <w:r>
        <w:rPr>
          <w:rFonts w:hint="eastAsia" w:ascii="楷体_GB2312" w:hAnsi="楷体_GB2312" w:eastAsia="楷体_GB2312" w:cs="楷体_GB2312"/>
          <w:b w:val="0"/>
          <w:bCs w:val="0"/>
          <w:kern w:val="0"/>
          <w:sz w:val="32"/>
          <w:szCs w:val="22"/>
          <w:highlight w:val="none"/>
          <w:lang w:val="en-US" w:eastAsia="zh-CN"/>
        </w:rPr>
        <w:t>（二）基本条件。</w:t>
      </w:r>
      <w:r>
        <w:rPr>
          <w:rFonts w:hint="default" w:ascii="Times New Roman" w:hAnsi="Times New Roman" w:eastAsia="仿宋_GB2312" w:cs="Times New Roman"/>
          <w:b w:val="0"/>
          <w:bCs w:val="0"/>
          <w:kern w:val="0"/>
          <w:sz w:val="32"/>
          <w:szCs w:val="22"/>
          <w:highlight w:val="none"/>
        </w:rPr>
        <w:t>学校现有校园占地645.8亩，其中已经投入使用110.8亩，</w:t>
      </w:r>
      <w:r>
        <w:rPr>
          <w:rFonts w:hint="default" w:ascii="Times New Roman" w:hAnsi="Times New Roman" w:eastAsia="仿宋_GB2312" w:cs="Times New Roman"/>
          <w:b w:val="0"/>
          <w:bCs w:val="0"/>
          <w:kern w:val="0"/>
          <w:sz w:val="32"/>
          <w:szCs w:val="22"/>
          <w:highlight w:val="none"/>
          <w:lang w:eastAsia="zh-CN"/>
        </w:rPr>
        <w:t>一期</w:t>
      </w:r>
      <w:r>
        <w:rPr>
          <w:rFonts w:hint="default" w:ascii="Times New Roman" w:hAnsi="Times New Roman" w:eastAsia="仿宋_GB2312" w:cs="Times New Roman"/>
          <w:b w:val="0"/>
          <w:bCs w:val="0"/>
          <w:kern w:val="0"/>
          <w:sz w:val="32"/>
          <w:szCs w:val="22"/>
          <w:highlight w:val="none"/>
        </w:rPr>
        <w:t>在建项目占地535亩。学校建筑面积为</w:t>
      </w:r>
      <w:r>
        <w:rPr>
          <w:rFonts w:hint="default" w:ascii="Times New Roman" w:hAnsi="Times New Roman" w:eastAsia="仿宋_GB2312" w:cs="Times New Roman"/>
          <w:b w:val="0"/>
          <w:bCs w:val="0"/>
          <w:kern w:val="0"/>
          <w:sz w:val="32"/>
          <w:szCs w:val="22"/>
          <w:highlight w:val="none"/>
          <w:lang w:val="en-US" w:eastAsia="zh-CN"/>
        </w:rPr>
        <w:t>13.162万</w:t>
      </w:r>
      <w:r>
        <w:rPr>
          <w:rFonts w:hint="default" w:ascii="Times New Roman" w:hAnsi="Times New Roman" w:eastAsia="仿宋_GB2312" w:cs="Times New Roman"/>
          <w:b w:val="0"/>
          <w:bCs w:val="0"/>
          <w:kern w:val="0"/>
          <w:sz w:val="32"/>
          <w:szCs w:val="22"/>
          <w:highlight w:val="none"/>
        </w:rPr>
        <w:t>平方米。其中已经投入使用4</w:t>
      </w:r>
      <w:r>
        <w:rPr>
          <w:rFonts w:hint="default" w:ascii="Times New Roman" w:hAnsi="Times New Roman" w:eastAsia="仿宋_GB2312" w:cs="Times New Roman"/>
          <w:b w:val="0"/>
          <w:bCs w:val="0"/>
          <w:kern w:val="0"/>
          <w:sz w:val="32"/>
          <w:szCs w:val="22"/>
          <w:highlight w:val="none"/>
          <w:lang w:val="en-US" w:eastAsia="zh-CN"/>
        </w:rPr>
        <w:t>.</w:t>
      </w:r>
      <w:r>
        <w:rPr>
          <w:rFonts w:hint="default" w:ascii="Times New Roman" w:hAnsi="Times New Roman" w:eastAsia="仿宋_GB2312" w:cs="Times New Roman"/>
          <w:b w:val="0"/>
          <w:bCs w:val="0"/>
          <w:kern w:val="0"/>
          <w:sz w:val="32"/>
          <w:szCs w:val="22"/>
          <w:highlight w:val="none"/>
        </w:rPr>
        <w:t>56</w:t>
      </w:r>
      <w:r>
        <w:rPr>
          <w:rFonts w:hint="default" w:ascii="Times New Roman" w:hAnsi="Times New Roman" w:eastAsia="仿宋_GB2312" w:cs="Times New Roman"/>
          <w:b w:val="0"/>
          <w:bCs w:val="0"/>
          <w:kern w:val="0"/>
          <w:sz w:val="32"/>
          <w:szCs w:val="22"/>
          <w:highlight w:val="none"/>
          <w:lang w:eastAsia="zh-CN"/>
        </w:rPr>
        <w:t>万</w:t>
      </w:r>
      <w:r>
        <w:rPr>
          <w:rFonts w:hint="default" w:ascii="Times New Roman" w:hAnsi="Times New Roman" w:eastAsia="仿宋_GB2312" w:cs="Times New Roman"/>
          <w:b w:val="0"/>
          <w:bCs w:val="0"/>
          <w:kern w:val="0"/>
          <w:sz w:val="32"/>
          <w:szCs w:val="22"/>
          <w:highlight w:val="none"/>
        </w:rPr>
        <w:t>平方米，</w:t>
      </w:r>
      <w:r>
        <w:rPr>
          <w:rFonts w:hint="default" w:ascii="Times New Roman" w:hAnsi="Times New Roman" w:eastAsia="仿宋_GB2312" w:cs="Times New Roman"/>
          <w:b w:val="0"/>
          <w:bCs w:val="0"/>
          <w:kern w:val="0"/>
          <w:sz w:val="32"/>
          <w:szCs w:val="22"/>
          <w:highlight w:val="none"/>
          <w:lang w:eastAsia="zh-CN"/>
        </w:rPr>
        <w:t>含教学实训区、生活保障区、图书收藏区、男女生宿舍区等。</w:t>
      </w:r>
      <w:r>
        <w:rPr>
          <w:rFonts w:hint="default" w:ascii="Times New Roman" w:hAnsi="Times New Roman" w:eastAsia="仿宋_GB2312" w:cs="Times New Roman"/>
          <w:b w:val="0"/>
          <w:bCs w:val="0"/>
          <w:kern w:val="0"/>
          <w:sz w:val="32"/>
          <w:szCs w:val="22"/>
          <w:highlight w:val="none"/>
        </w:rPr>
        <w:t>在建一期工程9</w:t>
      </w:r>
      <w:r>
        <w:rPr>
          <w:rFonts w:hint="default" w:ascii="Times New Roman" w:hAnsi="Times New Roman" w:eastAsia="仿宋_GB2312" w:cs="Times New Roman"/>
          <w:b w:val="0"/>
          <w:bCs w:val="0"/>
          <w:kern w:val="0"/>
          <w:sz w:val="32"/>
          <w:szCs w:val="22"/>
          <w:highlight w:val="none"/>
          <w:lang w:val="en-US" w:eastAsia="zh-CN"/>
        </w:rPr>
        <w:t>.</w:t>
      </w:r>
      <w:r>
        <w:rPr>
          <w:rFonts w:hint="default" w:ascii="Times New Roman" w:hAnsi="Times New Roman" w:eastAsia="仿宋_GB2312" w:cs="Times New Roman"/>
          <w:b w:val="0"/>
          <w:bCs w:val="0"/>
          <w:kern w:val="0"/>
          <w:sz w:val="32"/>
          <w:szCs w:val="22"/>
          <w:highlight w:val="none"/>
        </w:rPr>
        <w:t>106</w:t>
      </w:r>
      <w:r>
        <w:rPr>
          <w:rFonts w:hint="default" w:ascii="Times New Roman" w:hAnsi="Times New Roman" w:eastAsia="仿宋_GB2312" w:cs="Times New Roman"/>
          <w:b w:val="0"/>
          <w:bCs w:val="0"/>
          <w:kern w:val="0"/>
          <w:sz w:val="32"/>
          <w:szCs w:val="22"/>
          <w:highlight w:val="none"/>
          <w:lang w:eastAsia="zh-CN"/>
        </w:rPr>
        <w:t>万</w:t>
      </w:r>
      <w:r>
        <w:rPr>
          <w:rFonts w:hint="default" w:ascii="Times New Roman" w:hAnsi="Times New Roman" w:eastAsia="仿宋_GB2312" w:cs="Times New Roman"/>
          <w:b w:val="0"/>
          <w:bCs w:val="0"/>
          <w:kern w:val="0"/>
          <w:sz w:val="32"/>
          <w:szCs w:val="22"/>
          <w:highlight w:val="none"/>
        </w:rPr>
        <w:t>平方米</w:t>
      </w:r>
      <w:r>
        <w:rPr>
          <w:rFonts w:hint="default" w:ascii="Times New Roman" w:hAnsi="Times New Roman" w:eastAsia="仿宋_GB2312" w:cs="Times New Roman"/>
          <w:b w:val="0"/>
          <w:bCs w:val="0"/>
          <w:kern w:val="0"/>
          <w:sz w:val="32"/>
          <w:szCs w:val="22"/>
          <w:highlight w:val="none"/>
          <w:lang w:eastAsia="zh-CN"/>
        </w:rPr>
        <w:t>，主要有</w:t>
      </w:r>
      <w:r>
        <w:rPr>
          <w:rFonts w:hint="default" w:ascii="Times New Roman" w:hAnsi="Times New Roman" w:eastAsia="仿宋_GB2312" w:cs="Times New Roman"/>
          <w:b w:val="0"/>
          <w:bCs w:val="0"/>
          <w:kern w:val="0"/>
          <w:sz w:val="32"/>
          <w:szCs w:val="22"/>
          <w:highlight w:val="none"/>
          <w:lang w:val="zh-TW"/>
        </w:rPr>
        <w:t>教学楼、宿舍楼、实训楼</w:t>
      </w:r>
      <w:r>
        <w:rPr>
          <w:rFonts w:hint="eastAsia" w:ascii="Times New Roman" w:hAnsi="Times New Roman" w:eastAsia="仿宋_GB2312" w:cs="Times New Roman"/>
          <w:b w:val="0"/>
          <w:bCs w:val="0"/>
          <w:kern w:val="0"/>
          <w:sz w:val="32"/>
          <w:szCs w:val="22"/>
          <w:highlight w:val="none"/>
          <w:lang w:val="zh-TW" w:eastAsia="zh-CN"/>
        </w:rPr>
        <w:t>。</w:t>
      </w:r>
    </w:p>
    <w:p>
      <w:pPr>
        <w:numPr>
          <w:ilvl w:val="0"/>
          <w:numId w:val="0"/>
        </w:numPr>
        <w:spacing w:line="560" w:lineRule="exact"/>
        <w:ind w:firstLine="640" w:firstLineChars="200"/>
        <w:jc w:val="both"/>
        <w:rPr>
          <w:rFonts w:hint="default" w:ascii="Times New Roman" w:hAnsi="Times New Roman" w:eastAsia="仿宋_GB2312" w:cs="Times New Roman"/>
          <w:b w:val="0"/>
          <w:bCs w:val="0"/>
          <w:kern w:val="0"/>
          <w:sz w:val="32"/>
          <w:szCs w:val="22"/>
          <w:highlight w:val="none"/>
          <w:lang w:val="zh-TW"/>
        </w:rPr>
      </w:pPr>
      <w:r>
        <w:rPr>
          <w:rFonts w:hint="eastAsia" w:ascii="楷体_GB2312" w:hAnsi="楷体_GB2312" w:eastAsia="楷体_GB2312" w:cs="楷体_GB2312"/>
          <w:b w:val="0"/>
          <w:bCs w:val="0"/>
          <w:kern w:val="0"/>
          <w:sz w:val="32"/>
          <w:szCs w:val="22"/>
          <w:highlight w:val="none"/>
          <w:lang w:val="zh-TW" w:eastAsia="zh-CN"/>
        </w:rPr>
        <w:t>（</w:t>
      </w:r>
      <w:r>
        <w:rPr>
          <w:rFonts w:hint="eastAsia" w:ascii="楷体_GB2312" w:hAnsi="楷体_GB2312" w:eastAsia="楷体_GB2312" w:cs="楷体_GB2312"/>
          <w:b w:val="0"/>
          <w:bCs w:val="0"/>
          <w:kern w:val="0"/>
          <w:sz w:val="32"/>
          <w:szCs w:val="22"/>
          <w:highlight w:val="none"/>
          <w:lang w:val="en-US" w:eastAsia="zh-CN"/>
        </w:rPr>
        <w:t>三</w:t>
      </w:r>
      <w:r>
        <w:rPr>
          <w:rFonts w:hint="eastAsia" w:ascii="楷体_GB2312" w:hAnsi="楷体_GB2312" w:eastAsia="楷体_GB2312" w:cs="楷体_GB2312"/>
          <w:b w:val="0"/>
          <w:bCs w:val="0"/>
          <w:kern w:val="0"/>
          <w:sz w:val="32"/>
          <w:szCs w:val="22"/>
          <w:highlight w:val="none"/>
          <w:lang w:val="zh-TW" w:eastAsia="zh-CN"/>
        </w:rPr>
        <w:t>）</w:t>
      </w:r>
      <w:r>
        <w:rPr>
          <w:rFonts w:hint="eastAsia" w:ascii="楷体_GB2312" w:hAnsi="楷体_GB2312" w:eastAsia="楷体_GB2312" w:cs="楷体_GB2312"/>
          <w:b w:val="0"/>
          <w:bCs w:val="0"/>
          <w:kern w:val="0"/>
          <w:sz w:val="32"/>
          <w:szCs w:val="22"/>
          <w:highlight w:val="none"/>
          <w:lang w:val="zh-TW"/>
        </w:rPr>
        <w:t>师资队伍。</w:t>
      </w:r>
      <w:r>
        <w:rPr>
          <w:rFonts w:hint="default" w:ascii="Times New Roman" w:hAnsi="Times New Roman" w:eastAsia="仿宋_GB2312" w:cs="Times New Roman"/>
          <w:b w:val="0"/>
          <w:bCs w:val="0"/>
          <w:kern w:val="0"/>
          <w:sz w:val="32"/>
          <w:szCs w:val="22"/>
          <w:highlight w:val="none"/>
          <w:lang w:val="zh-TW"/>
        </w:rPr>
        <w:t>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zh-TW"/>
        </w:rPr>
        <w:t>现有专任教师128人。硕士研究生及</w:t>
      </w:r>
      <w:r>
        <w:rPr>
          <w:rFonts w:hint="default" w:ascii="Times New Roman" w:hAnsi="Times New Roman" w:eastAsia="仿宋_GB2312" w:cs="Times New Roman"/>
          <w:b w:val="0"/>
          <w:bCs w:val="0"/>
          <w:kern w:val="0"/>
          <w:sz w:val="32"/>
          <w:szCs w:val="22"/>
          <w:highlight w:val="none"/>
          <w:lang w:val="en-US" w:eastAsia="zh-CN"/>
        </w:rPr>
        <w:t>以上</w:t>
      </w:r>
      <w:r>
        <w:rPr>
          <w:rFonts w:hint="default" w:ascii="Times New Roman" w:hAnsi="Times New Roman" w:eastAsia="仿宋_GB2312" w:cs="Times New Roman"/>
          <w:b w:val="0"/>
          <w:bCs w:val="0"/>
          <w:kern w:val="0"/>
          <w:sz w:val="32"/>
          <w:szCs w:val="22"/>
          <w:highlight w:val="none"/>
          <w:lang w:val="zh-TW"/>
        </w:rPr>
        <w:t>学历教师29人，占专任教师总数的23%。具有副高级及以上职称教师32人，占专任教师总数的25%，“双师型”教师47人。每个专业</w:t>
      </w:r>
      <w:r>
        <w:rPr>
          <w:rFonts w:hint="default" w:ascii="Times New Roman" w:hAnsi="Times New Roman" w:eastAsia="仿宋_GB2312" w:cs="Times New Roman"/>
          <w:b w:val="0"/>
          <w:bCs w:val="0"/>
          <w:kern w:val="0"/>
          <w:sz w:val="32"/>
          <w:szCs w:val="22"/>
          <w:highlight w:val="none"/>
          <w:lang w:val="zh-TW" w:eastAsia="zh-CN"/>
        </w:rPr>
        <w:t>具有</w:t>
      </w:r>
      <w:r>
        <w:rPr>
          <w:rFonts w:hint="default" w:ascii="Times New Roman" w:hAnsi="Times New Roman" w:eastAsia="仿宋_GB2312" w:cs="Times New Roman"/>
          <w:b w:val="0"/>
          <w:bCs w:val="0"/>
          <w:kern w:val="0"/>
          <w:sz w:val="32"/>
          <w:szCs w:val="22"/>
          <w:highlight w:val="none"/>
          <w:lang w:val="zh-TW"/>
        </w:rPr>
        <w:t>副高以上专业带头人至少1人，专业骨干教师2人以上。学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zh-TW"/>
        </w:rPr>
        <w:t>根据民办高校和高等职业教育教学特点，聘任了郑州大学、河南中医药大学、郑州卫生健康职业学院、郑州市第一人民医院等省内高校和医院的教授、专家50余人为学院的兼职教师。</w:t>
      </w:r>
    </w:p>
    <w:p>
      <w:pPr>
        <w:numPr>
          <w:ilvl w:val="0"/>
          <w:numId w:val="0"/>
        </w:numPr>
        <w:spacing w:line="560" w:lineRule="exact"/>
        <w:ind w:firstLine="640" w:firstLineChars="200"/>
        <w:jc w:val="both"/>
        <w:rPr>
          <w:rFonts w:hint="default" w:ascii="Times New Roman" w:hAnsi="Times New Roman" w:eastAsia="仿宋_GB2312" w:cs="Times New Roman"/>
          <w:b w:val="0"/>
          <w:bCs w:val="0"/>
          <w:kern w:val="0"/>
          <w:sz w:val="32"/>
          <w:szCs w:val="22"/>
          <w:highlight w:val="none"/>
          <w:lang w:val="zh-TW" w:eastAsia="zh-CN"/>
        </w:rPr>
      </w:pPr>
      <w:r>
        <w:rPr>
          <w:rFonts w:hint="eastAsia" w:ascii="楷体_GB2312" w:hAnsi="楷体_GB2312" w:eastAsia="楷体_GB2312" w:cs="楷体_GB2312"/>
          <w:b w:val="0"/>
          <w:bCs w:val="0"/>
          <w:kern w:val="0"/>
          <w:sz w:val="32"/>
          <w:szCs w:val="22"/>
          <w:highlight w:val="none"/>
          <w:lang w:val="zh-TW" w:eastAsia="zh-CN"/>
        </w:rPr>
        <w:t>（</w:t>
      </w:r>
      <w:r>
        <w:rPr>
          <w:rFonts w:hint="eastAsia" w:ascii="楷体_GB2312" w:hAnsi="楷体_GB2312" w:eastAsia="楷体_GB2312" w:cs="楷体_GB2312"/>
          <w:b w:val="0"/>
          <w:bCs w:val="0"/>
          <w:kern w:val="0"/>
          <w:sz w:val="32"/>
          <w:szCs w:val="22"/>
          <w:highlight w:val="none"/>
          <w:lang w:val="en-US" w:eastAsia="zh-CN"/>
        </w:rPr>
        <w:t>四</w:t>
      </w:r>
      <w:r>
        <w:rPr>
          <w:rFonts w:hint="eastAsia" w:ascii="楷体_GB2312" w:hAnsi="楷体_GB2312" w:eastAsia="楷体_GB2312" w:cs="楷体_GB2312"/>
          <w:b w:val="0"/>
          <w:bCs w:val="0"/>
          <w:kern w:val="0"/>
          <w:sz w:val="32"/>
          <w:szCs w:val="22"/>
          <w:highlight w:val="none"/>
          <w:lang w:val="zh-TW" w:eastAsia="zh-CN"/>
        </w:rPr>
        <w:t>）教学设备</w:t>
      </w:r>
      <w:r>
        <w:rPr>
          <w:rFonts w:hint="default" w:ascii="楷体_GB2312" w:hAnsi="楷体_GB2312" w:eastAsia="楷体_GB2312" w:cs="楷体_GB2312"/>
          <w:b w:val="0"/>
          <w:bCs w:val="0"/>
          <w:kern w:val="0"/>
          <w:sz w:val="32"/>
          <w:szCs w:val="22"/>
          <w:highlight w:val="none"/>
          <w:lang w:val="zh-TW" w:eastAsia="zh-CN"/>
        </w:rPr>
        <w:t>。</w:t>
      </w:r>
      <w:r>
        <w:rPr>
          <w:rFonts w:hint="default" w:ascii="Times New Roman" w:hAnsi="Times New Roman" w:eastAsia="仿宋_GB2312" w:cs="Times New Roman"/>
          <w:b w:val="0"/>
          <w:bCs w:val="0"/>
          <w:kern w:val="0"/>
          <w:sz w:val="32"/>
          <w:szCs w:val="22"/>
          <w:highlight w:val="none"/>
          <w:lang w:val="zh-TW" w:eastAsia="zh-CN"/>
        </w:rPr>
        <w:t>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zh-TW" w:eastAsia="zh-CN"/>
        </w:rPr>
        <w:t>根据先期开设的</w:t>
      </w:r>
      <w:r>
        <w:rPr>
          <w:rFonts w:hint="default" w:ascii="Times New Roman" w:hAnsi="Times New Roman" w:eastAsia="仿宋_GB2312" w:cs="Times New Roman"/>
          <w:b w:val="0"/>
          <w:bCs w:val="0"/>
          <w:kern w:val="0"/>
          <w:sz w:val="32"/>
          <w:szCs w:val="22"/>
          <w:highlight w:val="none"/>
          <w:lang w:val="en-US" w:eastAsia="zh-CN"/>
        </w:rPr>
        <w:t>5个专业，建有基础医学实验室、护理实训室、药学实训室、康复实训室、检验实训室、口腔医学技术实训室等8个实验实训室，</w:t>
      </w:r>
      <w:r>
        <w:rPr>
          <w:rFonts w:hint="default" w:ascii="Times New Roman" w:hAnsi="Times New Roman" w:eastAsia="仿宋_GB2312" w:cs="Times New Roman"/>
          <w:b w:val="0"/>
          <w:bCs w:val="0"/>
          <w:kern w:val="0"/>
          <w:sz w:val="32"/>
          <w:szCs w:val="22"/>
          <w:highlight w:val="none"/>
          <w:lang w:val="zh-TW"/>
        </w:rPr>
        <w:t>教学仪器设备总值861.59万元，共计</w:t>
      </w:r>
      <w:r>
        <w:rPr>
          <w:rFonts w:hint="default" w:ascii="Times New Roman" w:hAnsi="Times New Roman" w:eastAsia="仿宋_GB2312" w:cs="Times New Roman"/>
          <w:b w:val="0"/>
          <w:bCs w:val="0"/>
          <w:kern w:val="0"/>
          <w:sz w:val="32"/>
          <w:szCs w:val="22"/>
          <w:highlight w:val="none"/>
        </w:rPr>
        <w:t>1710</w:t>
      </w:r>
      <w:r>
        <w:rPr>
          <w:rFonts w:hint="default" w:ascii="Times New Roman" w:hAnsi="Times New Roman" w:eastAsia="仿宋_GB2312" w:cs="Times New Roman"/>
          <w:b w:val="0"/>
          <w:bCs w:val="0"/>
          <w:kern w:val="0"/>
          <w:sz w:val="32"/>
          <w:szCs w:val="22"/>
          <w:highlight w:val="none"/>
          <w:lang w:val="zh-TW"/>
        </w:rPr>
        <w:t>台套</w:t>
      </w:r>
      <w:r>
        <w:rPr>
          <w:rFonts w:hint="default" w:ascii="Times New Roman" w:hAnsi="Times New Roman" w:eastAsia="仿宋_GB2312" w:cs="Times New Roman"/>
          <w:b w:val="0"/>
          <w:bCs w:val="0"/>
          <w:kern w:val="0"/>
          <w:sz w:val="32"/>
          <w:szCs w:val="22"/>
          <w:highlight w:val="none"/>
          <w:lang w:val="zh-TW" w:eastAsia="zh-CN"/>
        </w:rPr>
        <w:t>，能够满足各专业核心课程</w:t>
      </w:r>
      <w:r>
        <w:rPr>
          <w:rFonts w:hint="default" w:ascii="Times New Roman" w:hAnsi="Times New Roman" w:eastAsia="仿宋_GB2312" w:cs="Times New Roman"/>
          <w:b w:val="0"/>
          <w:bCs w:val="0"/>
          <w:kern w:val="0"/>
          <w:sz w:val="32"/>
          <w:szCs w:val="22"/>
          <w:highlight w:val="none"/>
          <w:lang w:val="en-US" w:eastAsia="zh-CN"/>
        </w:rPr>
        <w:t>的</w:t>
      </w:r>
      <w:r>
        <w:rPr>
          <w:rFonts w:hint="default" w:ascii="Times New Roman" w:hAnsi="Times New Roman" w:eastAsia="仿宋_GB2312" w:cs="Times New Roman"/>
          <w:b w:val="0"/>
          <w:bCs w:val="0"/>
          <w:kern w:val="0"/>
          <w:sz w:val="32"/>
          <w:szCs w:val="22"/>
          <w:highlight w:val="none"/>
          <w:lang w:val="zh-TW" w:eastAsia="zh-CN"/>
        </w:rPr>
        <w:t>专业技能实训教学。</w:t>
      </w:r>
    </w:p>
    <w:p>
      <w:pPr>
        <w:numPr>
          <w:ilvl w:val="0"/>
          <w:numId w:val="0"/>
        </w:numPr>
        <w:spacing w:line="560" w:lineRule="exact"/>
        <w:ind w:firstLine="640" w:firstLineChars="200"/>
        <w:jc w:val="both"/>
        <w:rPr>
          <w:rFonts w:hint="default" w:ascii="Times New Roman" w:hAnsi="Times New Roman" w:eastAsia="仿宋_GB2312" w:cs="Times New Roman"/>
          <w:b w:val="0"/>
          <w:bCs w:val="0"/>
          <w:kern w:val="0"/>
          <w:sz w:val="32"/>
          <w:szCs w:val="22"/>
          <w:highlight w:val="none"/>
          <w:lang w:val="zh-TW"/>
        </w:rPr>
      </w:pPr>
      <w:r>
        <w:rPr>
          <w:rFonts w:hint="eastAsia" w:ascii="楷体_GB2312" w:hAnsi="楷体_GB2312" w:eastAsia="楷体_GB2312" w:cs="楷体_GB2312"/>
          <w:b w:val="0"/>
          <w:bCs w:val="0"/>
          <w:kern w:val="0"/>
          <w:sz w:val="32"/>
          <w:szCs w:val="22"/>
          <w:highlight w:val="none"/>
          <w:lang w:val="en-US" w:eastAsia="zh-CN"/>
        </w:rPr>
        <w:t>（五）馆藏</w:t>
      </w:r>
      <w:r>
        <w:rPr>
          <w:rFonts w:hint="eastAsia" w:ascii="楷体_GB2312" w:hAnsi="楷体_GB2312" w:eastAsia="楷体_GB2312" w:cs="楷体_GB2312"/>
          <w:b w:val="0"/>
          <w:bCs w:val="0"/>
          <w:kern w:val="0"/>
          <w:sz w:val="32"/>
          <w:szCs w:val="22"/>
          <w:highlight w:val="none"/>
          <w:lang w:val="zh-TW"/>
        </w:rPr>
        <w:t>图书。</w:t>
      </w:r>
      <w:r>
        <w:rPr>
          <w:rFonts w:hint="default" w:ascii="Times New Roman" w:hAnsi="Times New Roman" w:eastAsia="仿宋_GB2312" w:cs="Times New Roman"/>
          <w:b w:val="0"/>
          <w:bCs w:val="0"/>
          <w:kern w:val="0"/>
          <w:sz w:val="32"/>
          <w:szCs w:val="22"/>
          <w:highlight w:val="none"/>
          <w:lang w:val="en-US" w:eastAsia="zh-CN"/>
        </w:rPr>
        <w:t>图书馆</w:t>
      </w:r>
      <w:r>
        <w:rPr>
          <w:rFonts w:hint="default" w:ascii="Times New Roman" w:hAnsi="Times New Roman" w:eastAsia="仿宋_GB2312" w:cs="Times New Roman"/>
          <w:b w:val="0"/>
          <w:bCs w:val="0"/>
          <w:kern w:val="0"/>
          <w:sz w:val="32"/>
          <w:szCs w:val="22"/>
          <w:highlight w:val="none"/>
          <w:lang w:val="zh-TW"/>
        </w:rPr>
        <w:t>有</w:t>
      </w:r>
      <w:r>
        <w:rPr>
          <w:rFonts w:hint="default" w:ascii="Times New Roman" w:hAnsi="Times New Roman" w:eastAsia="仿宋_GB2312" w:cs="Times New Roman"/>
          <w:b w:val="0"/>
          <w:bCs w:val="0"/>
          <w:kern w:val="0"/>
          <w:sz w:val="32"/>
          <w:szCs w:val="22"/>
          <w:highlight w:val="none"/>
        </w:rPr>
        <w:t>纸质图书</w:t>
      </w:r>
      <w:r>
        <w:rPr>
          <w:rFonts w:hint="default" w:ascii="Times New Roman" w:hAnsi="Times New Roman" w:eastAsia="仿宋_GB2312" w:cs="Times New Roman"/>
          <w:b w:val="0"/>
          <w:bCs w:val="0"/>
          <w:kern w:val="0"/>
          <w:sz w:val="32"/>
          <w:szCs w:val="22"/>
          <w:highlight w:val="none"/>
          <w:lang w:val="zh-TW"/>
        </w:rPr>
        <w:t>8.9万册，</w:t>
      </w:r>
      <w:r>
        <w:rPr>
          <w:rFonts w:hint="default" w:ascii="Times New Roman" w:hAnsi="Times New Roman" w:eastAsia="仿宋_GB2312" w:cs="Times New Roman"/>
          <w:b w:val="0"/>
          <w:bCs w:val="0"/>
          <w:kern w:val="0"/>
          <w:sz w:val="32"/>
          <w:szCs w:val="22"/>
          <w:highlight w:val="none"/>
          <w:lang w:val="en-US" w:eastAsia="zh-CN"/>
        </w:rPr>
        <w:t>其中，医药卫生类1.71万册，占比20.15%，</w:t>
      </w:r>
      <w:r>
        <w:rPr>
          <w:rFonts w:hint="default" w:ascii="Times New Roman" w:hAnsi="Times New Roman" w:eastAsia="仿宋_GB2312" w:cs="Times New Roman"/>
          <w:b w:val="0"/>
          <w:bCs w:val="0"/>
          <w:kern w:val="0"/>
          <w:sz w:val="32"/>
          <w:szCs w:val="22"/>
          <w:highlight w:val="none"/>
          <w:lang w:val="zh-TW"/>
        </w:rPr>
        <w:t>基本形成了以医药</w:t>
      </w:r>
      <w:r>
        <w:rPr>
          <w:rFonts w:hint="default" w:ascii="Times New Roman" w:hAnsi="Times New Roman" w:eastAsia="仿宋_GB2312" w:cs="Times New Roman"/>
          <w:b w:val="0"/>
          <w:bCs w:val="0"/>
          <w:kern w:val="0"/>
          <w:sz w:val="32"/>
          <w:szCs w:val="22"/>
          <w:highlight w:val="none"/>
          <w:lang w:val="zh-TW" w:eastAsia="zh-CN"/>
        </w:rPr>
        <w:t>卫生健康</w:t>
      </w:r>
      <w:r>
        <w:rPr>
          <w:rFonts w:hint="default" w:ascii="Times New Roman" w:hAnsi="Times New Roman" w:eastAsia="仿宋_GB2312" w:cs="Times New Roman"/>
          <w:b w:val="0"/>
          <w:bCs w:val="0"/>
          <w:kern w:val="0"/>
          <w:sz w:val="32"/>
          <w:szCs w:val="22"/>
          <w:highlight w:val="none"/>
          <w:lang w:val="zh-TW"/>
        </w:rPr>
        <w:t>为主的多学科藏书体系，覆盖了各类学科专业，具有较完整的文献情报检索体系。</w:t>
      </w:r>
    </w:p>
    <w:p>
      <w:pPr>
        <w:numPr>
          <w:ilvl w:val="0"/>
          <w:numId w:val="0"/>
        </w:numPr>
        <w:spacing w:line="560" w:lineRule="exact"/>
        <w:ind w:firstLine="640" w:firstLineChars="200"/>
        <w:jc w:val="both"/>
        <w:rPr>
          <w:rFonts w:hint="default" w:ascii="Times New Roman" w:hAnsi="Times New Roman" w:eastAsia="仿宋_GB2312" w:cs="Times New Roman"/>
          <w:b w:val="0"/>
          <w:bCs w:val="0"/>
          <w:kern w:val="0"/>
          <w:sz w:val="32"/>
          <w:szCs w:val="22"/>
          <w:highlight w:val="none"/>
          <w:lang w:val="en-US" w:eastAsia="zh-CN"/>
        </w:rPr>
      </w:pPr>
      <w:r>
        <w:rPr>
          <w:rFonts w:hint="eastAsia" w:ascii="楷体_GB2312" w:hAnsi="楷体_GB2312" w:eastAsia="楷体_GB2312" w:cs="楷体_GB2312"/>
          <w:b w:val="0"/>
          <w:bCs w:val="0"/>
          <w:kern w:val="0"/>
          <w:sz w:val="32"/>
          <w:szCs w:val="22"/>
          <w:highlight w:val="none"/>
          <w:lang w:val="zh-TW" w:eastAsia="zh-CN"/>
        </w:rPr>
        <w:t>（</w:t>
      </w:r>
      <w:r>
        <w:rPr>
          <w:rFonts w:hint="eastAsia" w:ascii="楷体_GB2312" w:hAnsi="楷体_GB2312" w:eastAsia="楷体_GB2312" w:cs="楷体_GB2312"/>
          <w:b w:val="0"/>
          <w:bCs w:val="0"/>
          <w:kern w:val="0"/>
          <w:sz w:val="32"/>
          <w:szCs w:val="22"/>
          <w:highlight w:val="none"/>
          <w:lang w:val="en-US" w:eastAsia="zh-CN"/>
        </w:rPr>
        <w:t>六</w:t>
      </w:r>
      <w:r>
        <w:rPr>
          <w:rFonts w:hint="eastAsia" w:ascii="楷体_GB2312" w:hAnsi="楷体_GB2312" w:eastAsia="楷体_GB2312" w:cs="楷体_GB2312"/>
          <w:b w:val="0"/>
          <w:bCs w:val="0"/>
          <w:kern w:val="0"/>
          <w:sz w:val="32"/>
          <w:szCs w:val="22"/>
          <w:highlight w:val="none"/>
          <w:lang w:val="zh-TW" w:eastAsia="zh-CN"/>
        </w:rPr>
        <w:t>）</w:t>
      </w:r>
      <w:r>
        <w:rPr>
          <w:rFonts w:hint="eastAsia" w:ascii="楷体_GB2312" w:hAnsi="楷体_GB2312" w:eastAsia="楷体_GB2312" w:cs="楷体_GB2312"/>
          <w:b w:val="0"/>
          <w:bCs w:val="0"/>
          <w:kern w:val="0"/>
          <w:sz w:val="32"/>
          <w:szCs w:val="22"/>
          <w:highlight w:val="none"/>
          <w:lang w:val="en-US" w:eastAsia="zh-CN"/>
        </w:rPr>
        <w:t>治理结构。</w:t>
      </w:r>
      <w:r>
        <w:rPr>
          <w:rFonts w:hint="default" w:ascii="Times New Roman" w:hAnsi="Times New Roman" w:eastAsia="仿宋_GB2312" w:cs="Times New Roman"/>
          <w:b w:val="0"/>
          <w:bCs w:val="0"/>
          <w:kern w:val="0"/>
          <w:sz w:val="32"/>
          <w:szCs w:val="22"/>
          <w:highlight w:val="none"/>
          <w:lang w:val="zh-TW" w:eastAsia="zh-CN"/>
        </w:rPr>
        <w:t>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zh-TW" w:eastAsia="zh-CN"/>
        </w:rPr>
        <w:t>成立了由法</w:t>
      </w:r>
      <w:r>
        <w:rPr>
          <w:rFonts w:hint="default" w:ascii="Times New Roman" w:hAnsi="Times New Roman" w:eastAsia="仿宋_GB2312" w:cs="Times New Roman"/>
          <w:b w:val="0"/>
          <w:bCs w:val="0"/>
          <w:kern w:val="0"/>
          <w:sz w:val="32"/>
          <w:szCs w:val="22"/>
          <w:highlight w:val="none"/>
          <w:lang w:val="en-US" w:eastAsia="zh-CN"/>
        </w:rPr>
        <w:t>定代表</w:t>
      </w:r>
      <w:r>
        <w:rPr>
          <w:rFonts w:hint="default" w:ascii="Times New Roman" w:hAnsi="Times New Roman" w:eastAsia="仿宋_GB2312" w:cs="Times New Roman"/>
          <w:b w:val="0"/>
          <w:bCs w:val="0"/>
          <w:kern w:val="0"/>
          <w:sz w:val="32"/>
          <w:szCs w:val="22"/>
          <w:highlight w:val="none"/>
          <w:lang w:val="zh-TW" w:eastAsia="zh-CN"/>
        </w:rPr>
        <w:t>人为理事长的理事会。学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zh-TW" w:eastAsia="zh-CN"/>
        </w:rPr>
        <w:t>领导班子结构合理，班子成员事业心强、办学思路清晰，均具有长期从事高等教育管理和领导工作的经验，具备较高的政治素质和管理能力。</w:t>
      </w:r>
    </w:p>
    <w:p>
      <w:pPr>
        <w:numPr>
          <w:ilvl w:val="0"/>
          <w:numId w:val="0"/>
        </w:numPr>
        <w:spacing w:line="560" w:lineRule="exact"/>
        <w:ind w:firstLine="640" w:firstLineChars="200"/>
        <w:jc w:val="both"/>
        <w:rPr>
          <w:rFonts w:hint="default" w:ascii="Times New Roman" w:hAnsi="Times New Roman" w:eastAsia="仿宋_GB2312" w:cs="Times New Roman"/>
          <w:b w:val="0"/>
          <w:bCs w:val="0"/>
          <w:kern w:val="0"/>
          <w:sz w:val="32"/>
          <w:szCs w:val="22"/>
          <w:highlight w:val="none"/>
          <w:lang w:val="en-US" w:eastAsia="zh-CN"/>
        </w:rPr>
      </w:pPr>
      <w:r>
        <w:rPr>
          <w:rFonts w:hint="eastAsia" w:ascii="楷体_GB2312" w:hAnsi="楷体_GB2312" w:eastAsia="楷体_GB2312" w:cs="楷体_GB2312"/>
          <w:b w:val="0"/>
          <w:bCs w:val="0"/>
          <w:kern w:val="0"/>
          <w:sz w:val="32"/>
          <w:szCs w:val="22"/>
          <w:highlight w:val="none"/>
          <w:lang w:val="zh-TW" w:eastAsia="zh-CN"/>
        </w:rPr>
        <w:t>（</w:t>
      </w:r>
      <w:r>
        <w:rPr>
          <w:rFonts w:hint="eastAsia" w:ascii="楷体_GB2312" w:hAnsi="楷体_GB2312" w:eastAsia="楷体_GB2312" w:cs="楷体_GB2312"/>
          <w:b w:val="0"/>
          <w:bCs w:val="0"/>
          <w:kern w:val="0"/>
          <w:sz w:val="32"/>
          <w:szCs w:val="22"/>
          <w:highlight w:val="none"/>
          <w:lang w:val="en-US" w:eastAsia="zh-CN"/>
        </w:rPr>
        <w:t>七</w:t>
      </w:r>
      <w:r>
        <w:rPr>
          <w:rFonts w:hint="eastAsia" w:ascii="楷体_GB2312" w:hAnsi="楷体_GB2312" w:eastAsia="楷体_GB2312" w:cs="楷体_GB2312"/>
          <w:b w:val="0"/>
          <w:bCs w:val="0"/>
          <w:kern w:val="0"/>
          <w:sz w:val="32"/>
          <w:szCs w:val="22"/>
          <w:highlight w:val="none"/>
          <w:lang w:val="zh-TW" w:eastAsia="zh-CN"/>
        </w:rPr>
        <w:t>）资金保障</w:t>
      </w:r>
      <w:r>
        <w:rPr>
          <w:rFonts w:hint="eastAsia" w:ascii="楷体_GB2312" w:hAnsi="楷体_GB2312" w:eastAsia="楷体_GB2312" w:cs="楷体_GB2312"/>
          <w:b w:val="0"/>
          <w:bCs w:val="0"/>
          <w:kern w:val="0"/>
          <w:sz w:val="32"/>
          <w:szCs w:val="22"/>
          <w:highlight w:val="none"/>
          <w:lang w:val="zh-TW"/>
        </w:rPr>
        <w:t>。</w:t>
      </w:r>
      <w:r>
        <w:rPr>
          <w:rFonts w:hint="default" w:ascii="Times New Roman" w:hAnsi="Times New Roman" w:eastAsia="仿宋_GB2312" w:cs="Times New Roman"/>
          <w:b w:val="0"/>
          <w:bCs w:val="0"/>
          <w:kern w:val="0"/>
          <w:sz w:val="32"/>
          <w:szCs w:val="22"/>
          <w:highlight w:val="none"/>
          <w:lang w:val="en-US" w:eastAsia="zh-CN"/>
        </w:rPr>
        <w:t>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en-US" w:eastAsia="zh-CN"/>
        </w:rPr>
        <w:t>办学经费主要来源于举办者投入、学费收入和社会捐赠。目前，学</w:t>
      </w:r>
      <w:r>
        <w:rPr>
          <w:rFonts w:hint="eastAsia" w:ascii="Times New Roman" w:hAnsi="Times New Roman" w:eastAsia="仿宋_GB2312" w:cs="Times New Roman"/>
          <w:b w:val="0"/>
          <w:bCs w:val="0"/>
          <w:kern w:val="0"/>
          <w:sz w:val="32"/>
          <w:szCs w:val="22"/>
          <w:highlight w:val="none"/>
          <w:lang w:val="en-US" w:eastAsia="zh-CN"/>
        </w:rPr>
        <w:t>校</w:t>
      </w:r>
      <w:r>
        <w:rPr>
          <w:rFonts w:hint="default" w:ascii="Times New Roman" w:hAnsi="Times New Roman" w:eastAsia="仿宋_GB2312" w:cs="Times New Roman"/>
          <w:b w:val="0"/>
          <w:bCs w:val="0"/>
          <w:kern w:val="0"/>
          <w:sz w:val="32"/>
          <w:szCs w:val="22"/>
          <w:highlight w:val="none"/>
          <w:lang w:val="en-US" w:eastAsia="zh-CN"/>
        </w:rPr>
        <w:t>一期工程实际投入4.2亿元</w:t>
      </w:r>
      <w:r>
        <w:rPr>
          <w:rFonts w:hint="eastAsia" w:ascii="Times New Roman" w:hAnsi="Times New Roman" w:eastAsia="仿宋_GB2312" w:cs="Times New Roman"/>
          <w:b w:val="0"/>
          <w:bCs w:val="0"/>
          <w:kern w:val="0"/>
          <w:sz w:val="32"/>
          <w:szCs w:val="22"/>
          <w:highlight w:val="none"/>
          <w:lang w:val="en-US" w:eastAsia="zh-CN"/>
        </w:rPr>
        <w:t>。</w:t>
      </w:r>
    </w:p>
    <w:p>
      <w:pPr>
        <w:numPr>
          <w:ilvl w:val="0"/>
          <w:numId w:val="0"/>
        </w:numPr>
        <w:spacing w:line="560" w:lineRule="exact"/>
        <w:ind w:firstLine="640"/>
        <w:jc w:val="both"/>
        <w:outlineLvl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lang w:eastAsia="zh-CN"/>
        </w:rPr>
        <w:t>二、</w:t>
      </w:r>
      <w:r>
        <w:rPr>
          <w:rFonts w:hint="default" w:ascii="Times New Roman" w:hAnsi="Times New Roman" w:eastAsia="黑体" w:cs="Times New Roman"/>
          <w:sz w:val="32"/>
          <w:highlight w:val="none"/>
        </w:rPr>
        <w:t>面临形势</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（一）机遇</w:t>
      </w:r>
    </w:p>
    <w:p>
      <w:pPr>
        <w:spacing w:line="560" w:lineRule="exact"/>
        <w:ind w:firstLine="643"/>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b/>
          <w:sz w:val="32"/>
          <w:highlight w:val="none"/>
        </w:rPr>
        <w:t>从教育事业发展来看。</w:t>
      </w:r>
      <w:r>
        <w:rPr>
          <w:rFonts w:hint="default" w:ascii="Times New Roman" w:hAnsi="Times New Roman" w:eastAsia="仿宋_GB2312" w:cs="Times New Roman"/>
          <w:sz w:val="32"/>
          <w:highlight w:val="none"/>
        </w:rPr>
        <w:t>国家职业教育改革和“健康中国”战略为学校发展带来前所未有的机遇。中共中央、国务院印发的《中国教育现代化2035》指出，“要建立完善的高等学校分类发展政策体系，引导高等学校科学定位、特色发展”未来的高等教育体系将由“一列纵队”向“多列纵队”转变，不同类型高校分类管理、分类发展将成为“新常态”。《国家职业教育改革实施方案》《河南省职业教育改革方案》等文件的颁布，为学校未来改革指明了方向。全国“双高计划”、教育部等九部门联合印发《职业教育提质培优行动计划（2020—2023年）》的实施，为学校提供了难得的发展机遇。作为行业特点鲜明的地方性</w:t>
      </w:r>
      <w:r>
        <w:rPr>
          <w:rFonts w:hint="default" w:ascii="Times New Roman" w:hAnsi="Times New Roman" w:eastAsia="仿宋_GB2312" w:cs="Times New Roman"/>
          <w:color w:val="000000"/>
          <w:sz w:val="32"/>
          <w:highlight w:val="none"/>
        </w:rPr>
        <w:t>高等职业</w:t>
      </w:r>
      <w:r>
        <w:rPr>
          <w:rFonts w:hint="default" w:ascii="Times New Roman" w:hAnsi="Times New Roman" w:eastAsia="仿宋_GB2312" w:cs="Times New Roman"/>
          <w:sz w:val="32"/>
          <w:highlight w:val="none"/>
        </w:rPr>
        <w:t>院校，我们要积极适应这种“新常态”，主动调整办学思路，着力推动学校适应地方经济建设发展。</w:t>
      </w:r>
    </w:p>
    <w:p>
      <w:pPr>
        <w:spacing w:line="560" w:lineRule="exact"/>
        <w:ind w:firstLine="643"/>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b/>
          <w:sz w:val="32"/>
          <w:highlight w:val="none"/>
        </w:rPr>
        <w:t>从</w:t>
      </w:r>
      <w:r>
        <w:rPr>
          <w:rFonts w:hint="default" w:ascii="Times New Roman" w:hAnsi="Times New Roman" w:eastAsia="仿宋_GB2312" w:cs="Times New Roman"/>
          <w:b/>
          <w:color w:val="000000"/>
          <w:sz w:val="32"/>
          <w:highlight w:val="none"/>
        </w:rPr>
        <w:t>卫生</w:t>
      </w:r>
      <w:r>
        <w:rPr>
          <w:rFonts w:hint="default" w:ascii="Times New Roman" w:hAnsi="Times New Roman" w:eastAsia="仿宋_GB2312" w:cs="Times New Roman"/>
          <w:b/>
          <w:sz w:val="32"/>
          <w:highlight w:val="none"/>
        </w:rPr>
        <w:t>健康事业发展来看。</w:t>
      </w:r>
      <w:r>
        <w:rPr>
          <w:rFonts w:hint="default" w:ascii="Times New Roman" w:hAnsi="Times New Roman" w:eastAsia="仿宋_GB2312" w:cs="Times New Roman"/>
          <w:sz w:val="32"/>
          <w:highlight w:val="none"/>
        </w:rPr>
        <w:t>《“健康中国2030”规划纲要》指出，到2030年，健康服务质量和健康保障水平不断提高，健康产业繁荣发展。到2050年，建成与社会主义现代化国家相适应的健康中国。《河南省第十一次党代会报告》指出，要提供全方位全周期健康服务，树立大健康理念，加快建设健康河南。随着健康中国、健康中原建设的深入推进，以及新时代人们日益增长的多层次健康需要，</w:t>
      </w:r>
      <w:r>
        <w:rPr>
          <w:rFonts w:hint="default" w:ascii="Times New Roman" w:hAnsi="Times New Roman" w:eastAsia="仿宋_GB2312" w:cs="Times New Roman"/>
          <w:color w:val="000000"/>
          <w:sz w:val="32"/>
          <w:highlight w:val="none"/>
        </w:rPr>
        <w:t>卫生</w:t>
      </w:r>
      <w:r>
        <w:rPr>
          <w:rFonts w:hint="default" w:ascii="Times New Roman" w:hAnsi="Times New Roman" w:eastAsia="仿宋_GB2312" w:cs="Times New Roman"/>
          <w:sz w:val="32"/>
          <w:highlight w:val="none"/>
        </w:rPr>
        <w:t>健康事业发展迎来了难得的战略机遇期。</w:t>
      </w:r>
      <w:r>
        <w:rPr>
          <w:rFonts w:hint="default" w:ascii="Times New Roman" w:hAnsi="Times New Roman" w:eastAsia="仿宋_GB2312" w:cs="Times New Roman"/>
          <w:color w:val="000000"/>
          <w:sz w:val="32"/>
          <w:highlight w:val="none"/>
        </w:rPr>
        <w:t>高等医药卫生健康</w:t>
      </w:r>
      <w:r>
        <w:rPr>
          <w:rFonts w:hint="default" w:ascii="Times New Roman" w:hAnsi="Times New Roman" w:eastAsia="仿宋_GB2312" w:cs="Times New Roman"/>
          <w:sz w:val="32"/>
          <w:highlight w:val="none"/>
        </w:rPr>
        <w:t>类院校作为医药健康人才培养、学术研究、科技创新的高地，理应抢抓机遇，主动作为。</w:t>
      </w:r>
    </w:p>
    <w:p>
      <w:pPr>
        <w:spacing w:line="560" w:lineRule="exact"/>
        <w:ind w:firstLine="643"/>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b/>
          <w:sz w:val="32"/>
          <w:highlight w:val="none"/>
        </w:rPr>
        <w:t>从学校事业发展来看。</w:t>
      </w:r>
      <w:r>
        <w:rPr>
          <w:rFonts w:hint="default" w:ascii="Times New Roman" w:hAnsi="Times New Roman" w:eastAsia="仿宋_GB2312" w:cs="Times New Roman"/>
          <w:sz w:val="32"/>
          <w:highlight w:val="none"/>
        </w:rPr>
        <w:t>学校围绕国家战略和地方经济社会</w:t>
      </w:r>
      <w:r>
        <w:rPr>
          <w:rFonts w:hint="default" w:ascii="Times New Roman" w:hAnsi="Times New Roman" w:eastAsia="仿宋_GB2312" w:cs="Times New Roman"/>
          <w:color w:val="000000"/>
          <w:sz w:val="32"/>
          <w:highlight w:val="none"/>
        </w:rPr>
        <w:t>发展</w:t>
      </w:r>
      <w:r>
        <w:rPr>
          <w:rFonts w:hint="default" w:ascii="Times New Roman" w:hAnsi="Times New Roman" w:eastAsia="仿宋_GB2312" w:cs="Times New Roman"/>
          <w:sz w:val="32"/>
          <w:highlight w:val="none"/>
        </w:rPr>
        <w:t>需求，不断拓展办学空间，初步确立了</w:t>
      </w:r>
      <w:r>
        <w:rPr>
          <w:rFonts w:hint="default" w:ascii="Times New Roman" w:hAnsi="Times New Roman" w:eastAsia="仿宋_GB2312" w:cs="Times New Roman"/>
          <w:color w:val="000000"/>
          <w:sz w:val="32"/>
          <w:highlight w:val="none"/>
        </w:rPr>
        <w:t>以</w:t>
      </w:r>
      <w:r>
        <w:rPr>
          <w:rFonts w:hint="default" w:ascii="Times New Roman" w:hAnsi="Times New Roman" w:eastAsia="仿宋_GB2312" w:cs="Times New Roman"/>
          <w:sz w:val="32"/>
          <w:highlight w:val="none"/>
        </w:rPr>
        <w:t>高等学历教育为主体，继续教育和</w:t>
      </w:r>
      <w:r>
        <w:rPr>
          <w:rFonts w:hint="default" w:ascii="Times New Roman" w:hAnsi="Times New Roman" w:eastAsia="仿宋_GB2312" w:cs="Times New Roman"/>
          <w:color w:val="000000"/>
          <w:sz w:val="32"/>
          <w:highlight w:val="none"/>
        </w:rPr>
        <w:t>中等职业教育</w:t>
      </w:r>
      <w:r>
        <w:rPr>
          <w:rFonts w:hint="default" w:ascii="Times New Roman" w:hAnsi="Times New Roman" w:eastAsia="仿宋_GB2312" w:cs="Times New Roman"/>
          <w:sz w:val="32"/>
          <w:highlight w:val="none"/>
        </w:rPr>
        <w:t>为两翼的“一体两翼”办学格局和以</w:t>
      </w:r>
      <w:r>
        <w:rPr>
          <w:rFonts w:hint="default" w:ascii="Times New Roman" w:hAnsi="Times New Roman" w:eastAsia="仿宋_GB2312" w:cs="Times New Roman"/>
          <w:color w:val="000000"/>
          <w:sz w:val="32"/>
          <w:highlight w:val="none"/>
        </w:rPr>
        <w:t>人才培养</w:t>
      </w:r>
      <w:r>
        <w:rPr>
          <w:rFonts w:hint="default" w:ascii="Times New Roman" w:hAnsi="Times New Roman" w:eastAsia="仿宋_GB2312" w:cs="Times New Roman"/>
          <w:sz w:val="32"/>
          <w:highlight w:val="none"/>
        </w:rPr>
        <w:t>为主体，</w:t>
      </w:r>
      <w:r>
        <w:rPr>
          <w:rFonts w:hint="default" w:ascii="Times New Roman" w:hAnsi="Times New Roman" w:eastAsia="仿宋_GB2312" w:cs="Times New Roman"/>
          <w:color w:val="000000"/>
          <w:sz w:val="32"/>
          <w:highlight w:val="none"/>
        </w:rPr>
        <w:t>医养结合</w:t>
      </w:r>
      <w:r>
        <w:rPr>
          <w:rFonts w:hint="default" w:ascii="Times New Roman" w:hAnsi="Times New Roman" w:eastAsia="仿宋_GB2312" w:cs="Times New Roman"/>
          <w:sz w:val="32"/>
          <w:highlight w:val="none"/>
        </w:rPr>
        <w:t>为两翼的“一体两翼”发展格局。目前，学校各项工作已经进入新的轨道，</w:t>
      </w:r>
      <w:r>
        <w:rPr>
          <w:rFonts w:hint="default" w:ascii="Times New Roman" w:hAnsi="Times New Roman" w:eastAsia="仿宋_GB2312" w:cs="Times New Roman"/>
          <w:color w:val="000000"/>
          <w:sz w:val="32"/>
          <w:highlight w:val="none"/>
        </w:rPr>
        <w:t>办学规模、办学质量、办学实力都将迎来一个新的飞跃。</w:t>
      </w:r>
    </w:p>
    <w:p>
      <w:pPr>
        <w:spacing w:line="560" w:lineRule="exact"/>
        <w:ind w:firstLine="42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（二）挑战</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作为新建院校，各项工</w:t>
      </w:r>
      <w:r>
        <w:rPr>
          <w:rFonts w:hint="default" w:ascii="Times New Roman" w:hAnsi="Times New Roman" w:eastAsia="仿宋_GB2312" w:cs="Times New Roman"/>
          <w:color w:val="000000"/>
          <w:sz w:val="32"/>
          <w:highlight w:val="none"/>
        </w:rPr>
        <w:t>作刚</w:t>
      </w:r>
      <w:r>
        <w:rPr>
          <w:rFonts w:hint="default" w:ascii="Times New Roman" w:hAnsi="Times New Roman" w:eastAsia="仿宋_GB2312" w:cs="Times New Roman"/>
          <w:sz w:val="32"/>
          <w:highlight w:val="none"/>
        </w:rPr>
        <w:t>刚起步，与其他普通高校相比，无论是硬件建设，还是办学经验积累还有很大差距。目前面临的挑战主要有：专业群建设还没有形成</w:t>
      </w:r>
      <w:r>
        <w:rPr>
          <w:rFonts w:hint="default" w:ascii="Times New Roman" w:hAnsi="Times New Roman" w:eastAsia="仿宋_GB2312" w:cs="Times New Roman"/>
          <w:color w:val="000000"/>
          <w:sz w:val="32"/>
          <w:highlight w:val="none"/>
        </w:rPr>
        <w:t>体系</w:t>
      </w:r>
      <w:r>
        <w:rPr>
          <w:rFonts w:hint="default" w:ascii="Times New Roman" w:hAnsi="Times New Roman" w:eastAsia="仿宋_GB2312" w:cs="Times New Roman"/>
          <w:sz w:val="32"/>
          <w:highlight w:val="none"/>
        </w:rPr>
        <w:t>，</w:t>
      </w:r>
      <w:r>
        <w:rPr>
          <w:rFonts w:hint="default" w:ascii="Times New Roman" w:hAnsi="Times New Roman" w:eastAsia="仿宋_GB2312" w:cs="Times New Roman"/>
          <w:color w:val="000000"/>
          <w:sz w:val="32"/>
          <w:highlight w:val="none"/>
        </w:rPr>
        <w:t>师资队伍相对薄弱，</w:t>
      </w:r>
      <w:r>
        <w:rPr>
          <w:rFonts w:hint="default" w:ascii="Times New Roman" w:hAnsi="Times New Roman" w:eastAsia="仿宋_GB2312" w:cs="Times New Roman"/>
          <w:sz w:val="32"/>
          <w:highlight w:val="none"/>
        </w:rPr>
        <w:t>科研成果</w:t>
      </w:r>
      <w:r>
        <w:rPr>
          <w:rFonts w:hint="default" w:ascii="Times New Roman" w:hAnsi="Times New Roman" w:eastAsia="仿宋_GB2312" w:cs="Times New Roman"/>
          <w:color w:val="000000"/>
          <w:sz w:val="32"/>
          <w:highlight w:val="none"/>
        </w:rPr>
        <w:t>较少</w:t>
      </w:r>
      <w:r>
        <w:rPr>
          <w:rFonts w:hint="default" w:ascii="Times New Roman" w:hAnsi="Times New Roman" w:eastAsia="仿宋_GB2312" w:cs="Times New Roman"/>
          <w:sz w:val="32"/>
          <w:highlight w:val="none"/>
        </w:rPr>
        <w:t>，解决</w:t>
      </w:r>
      <w:r>
        <w:rPr>
          <w:rFonts w:hint="default" w:ascii="Times New Roman" w:hAnsi="Times New Roman" w:eastAsia="仿宋_GB2312" w:cs="Times New Roman"/>
          <w:color w:val="000000"/>
          <w:sz w:val="32"/>
          <w:highlight w:val="none"/>
        </w:rPr>
        <w:t>卫生</w:t>
      </w:r>
      <w:r>
        <w:rPr>
          <w:rFonts w:hint="default" w:ascii="Times New Roman" w:hAnsi="Times New Roman" w:eastAsia="仿宋_GB2312" w:cs="Times New Roman"/>
          <w:sz w:val="32"/>
          <w:highlight w:val="none"/>
        </w:rPr>
        <w:t>健康事业发展难点、痛点、堵点能力不强，服务经济社会发展力度不够。学校的整体办学实力与建设省内一流的高水平医药卫生类院校的要求相比，还存在不小差距，在前进和发展的道路上仍面临</w:t>
      </w:r>
      <w:r>
        <w:rPr>
          <w:rFonts w:hint="default" w:ascii="Times New Roman" w:hAnsi="Times New Roman" w:eastAsia="仿宋_GB2312" w:cs="Times New Roman"/>
          <w:color w:val="000000"/>
          <w:sz w:val="32"/>
          <w:highlight w:val="none"/>
        </w:rPr>
        <w:t>较大</w:t>
      </w:r>
      <w:r>
        <w:rPr>
          <w:rFonts w:hint="default" w:ascii="Times New Roman" w:hAnsi="Times New Roman" w:eastAsia="仿宋_GB2312" w:cs="Times New Roman"/>
          <w:sz w:val="32"/>
          <w:highlight w:val="none"/>
        </w:rPr>
        <w:t>挑战。</w:t>
      </w:r>
    </w:p>
    <w:p>
      <w:pPr>
        <w:spacing w:line="560" w:lineRule="exact"/>
        <w:ind w:firstLine="640"/>
        <w:jc w:val="both"/>
        <w:outlineLvl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三、发展目标</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（一）指导思想</w:t>
      </w:r>
    </w:p>
    <w:p>
      <w:pPr>
        <w:spacing w:line="560" w:lineRule="exact"/>
        <w:ind w:firstLine="640"/>
        <w:jc w:val="both"/>
        <w:rPr>
          <w:rFonts w:hint="default" w:ascii="Times New Roman" w:hAnsi="Times New Roman" w:eastAsia="仿宋_GB2312" w:cs="Times New Roman"/>
          <w:b/>
          <w:sz w:val="32"/>
          <w:highlight w:val="none"/>
        </w:rPr>
      </w:pPr>
      <w:r>
        <w:rPr>
          <w:rFonts w:hint="default" w:ascii="Times New Roman" w:hAnsi="Times New Roman" w:eastAsia="仿宋_GB2312" w:cs="Times New Roman"/>
          <w:sz w:val="32"/>
          <w:highlight w:val="none"/>
        </w:rPr>
        <w:t>高举中国特色社会主义伟大旗帜，以习近平新时代中国特色社会主义思想为指导，深入贯彻党的十九大、十九届历次全会精神和习近平总书记关于教育事业、卫生健康事业改革发展的重要论述，认真落实省第十一次党代会精神，坚持以“办好人民满意的教育”为目标，以“为党育人、为国育才”为使命，以“</w:t>
      </w:r>
      <w:r>
        <w:rPr>
          <w:rFonts w:hint="default" w:ascii="Times New Roman" w:hAnsi="Times New Roman" w:eastAsia="仿宋_GB2312" w:cs="Times New Roman"/>
          <w:color w:val="000000"/>
          <w:sz w:val="32"/>
          <w:highlight w:val="none"/>
        </w:rPr>
        <w:t>立德树人”、“助力全民健康”</w:t>
      </w:r>
      <w:r>
        <w:rPr>
          <w:rFonts w:hint="default" w:ascii="Times New Roman" w:hAnsi="Times New Roman" w:eastAsia="仿宋_GB2312" w:cs="Times New Roman"/>
          <w:sz w:val="32"/>
          <w:highlight w:val="none"/>
        </w:rPr>
        <w:t>为己任，以学校“双高校”创建工作为统领，不断加强和改进党的建设，深化教育教学改革，推进国家治理体系和治理能力现代化，进一步彰显办学特色，创新人才培养模式，构建教学标准体系，健全教学质量管理和保障制度，积极推进校企合作、产教融合协同育人机制，全面提升人才培养质量、科技创新能力和服务经济社会发展水平，为谱写新时代中原更加出彩的绚丽篇章作出应有的贡献。</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（二）发展原则</w:t>
      </w:r>
    </w:p>
    <w:p>
      <w:pPr>
        <w:spacing w:line="560" w:lineRule="exact"/>
        <w:ind w:firstLine="643"/>
        <w:jc w:val="both"/>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坚持党的领导，全面依法治校。</w:t>
      </w:r>
      <w:r>
        <w:rPr>
          <w:rFonts w:hint="default" w:ascii="Times New Roman" w:hAnsi="Times New Roman" w:eastAsia="仿宋_GB2312" w:cs="Times New Roman"/>
          <w:sz w:val="32"/>
          <w:highlight w:val="none"/>
        </w:rPr>
        <w:t>全面贯彻党的教育方针，坚持社会主义办学方向，充分发挥党委协调各方的政治核心作用，持续完善理事会领导下的校长负责制，深入推进国家治理体系和治理能力现代化。</w:t>
      </w:r>
    </w:p>
    <w:p>
      <w:pPr>
        <w:spacing w:line="560" w:lineRule="exact"/>
        <w:ind w:firstLine="643"/>
        <w:jc w:val="both"/>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坚持特色发展，注重交叉融合。</w:t>
      </w:r>
      <w:r>
        <w:rPr>
          <w:rFonts w:hint="default" w:ascii="Times New Roman" w:hAnsi="Times New Roman" w:eastAsia="仿宋_GB2312" w:cs="Times New Roman"/>
          <w:sz w:val="32"/>
          <w:highlight w:val="none"/>
        </w:rPr>
        <w:t>着力培养具有创新创业精神的技术技能人才。切实推进立德与育人的融合，教学与科研的融合。</w:t>
      </w:r>
    </w:p>
    <w:p>
      <w:pPr>
        <w:spacing w:line="560" w:lineRule="exact"/>
        <w:ind w:firstLine="643"/>
        <w:jc w:val="both"/>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坚持文化引领，深化内涵建设。</w:t>
      </w:r>
      <w:r>
        <w:rPr>
          <w:rFonts w:hint="default" w:ascii="Times New Roman" w:hAnsi="Times New Roman" w:eastAsia="仿宋_GB2312" w:cs="Times New Roman"/>
          <w:sz w:val="32"/>
          <w:highlight w:val="none"/>
        </w:rPr>
        <w:t>以医育人，以文化人，将医学精神和</w:t>
      </w:r>
      <w:r>
        <w:rPr>
          <w:rFonts w:hint="eastAsia" w:ascii="Times New Roman" w:hAnsi="Times New Roman" w:eastAsia="仿宋_GB2312" w:cs="Times New Roman"/>
          <w:sz w:val="32"/>
          <w:highlight w:val="none"/>
          <w:lang w:eastAsia="zh-CN"/>
        </w:rPr>
        <w:t>中华医药文化</w:t>
      </w:r>
      <w:r>
        <w:rPr>
          <w:rFonts w:hint="default" w:ascii="Times New Roman" w:hAnsi="Times New Roman" w:eastAsia="仿宋_GB2312" w:cs="Times New Roman"/>
          <w:sz w:val="32"/>
          <w:highlight w:val="none"/>
        </w:rPr>
        <w:t>深度融入校园文化。以“提质培优”为动力，提高教学和人才培养质量，以改革促发展，提升学校对医药卫生、健康服务事业发展的引领力和贡献度。</w:t>
      </w:r>
    </w:p>
    <w:p>
      <w:pPr>
        <w:spacing w:line="560" w:lineRule="exact"/>
        <w:ind w:firstLine="643"/>
        <w:jc w:val="both"/>
        <w:rPr>
          <w:rFonts w:hint="default" w:ascii="Times New Roman" w:hAnsi="Times New Roman" w:eastAsia="仿宋_GB2312" w:cs="Times New Roman"/>
          <w:b/>
          <w:sz w:val="32"/>
          <w:highlight w:val="none"/>
        </w:rPr>
      </w:pPr>
      <w:r>
        <w:rPr>
          <w:rFonts w:hint="default" w:ascii="Times New Roman" w:hAnsi="Times New Roman" w:eastAsia="仿宋_GB2312" w:cs="Times New Roman"/>
          <w:b/>
          <w:sz w:val="32"/>
          <w:highlight w:val="none"/>
        </w:rPr>
        <w:t>坚持人才根本，加强开放合作。</w:t>
      </w:r>
      <w:r>
        <w:rPr>
          <w:rFonts w:hint="default" w:ascii="Times New Roman" w:hAnsi="Times New Roman" w:eastAsia="仿宋_GB2312" w:cs="Times New Roman"/>
          <w:sz w:val="32"/>
          <w:highlight w:val="none"/>
        </w:rPr>
        <w:t>坚持以市场需求为导向，加强产教融合、校企（院）合作，推动学科链、专业链、人才链与产业链、创新链、价值链有机融合。</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（三）办学定位</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以医药卫生及大健康类专业为主体，</w:t>
      </w:r>
      <w:r>
        <w:rPr>
          <w:rFonts w:hint="default" w:ascii="Times New Roman" w:hAnsi="Times New Roman" w:eastAsia="仿宋_GB2312" w:cs="Times New Roman"/>
          <w:color w:val="000000"/>
          <w:sz w:val="32"/>
          <w:highlight w:val="none"/>
        </w:rPr>
        <w:t>以</w:t>
      </w:r>
      <w:r>
        <w:rPr>
          <w:rFonts w:hint="default" w:ascii="Times New Roman" w:hAnsi="Times New Roman" w:eastAsia="仿宋_GB2312" w:cs="Times New Roman"/>
          <w:sz w:val="32"/>
          <w:highlight w:val="none"/>
        </w:rPr>
        <w:t>与其相适应的理、工、商</w:t>
      </w:r>
      <w:r>
        <w:rPr>
          <w:rFonts w:hint="default" w:ascii="Times New Roman" w:hAnsi="Times New Roman" w:eastAsia="仿宋_GB2312" w:cs="Times New Roman"/>
          <w:color w:val="000000"/>
          <w:sz w:val="32"/>
          <w:highlight w:val="none"/>
        </w:rPr>
        <w:t>类等专业为辅助</w:t>
      </w:r>
      <w:r>
        <w:rPr>
          <w:rFonts w:hint="default" w:ascii="Times New Roman" w:hAnsi="Times New Roman" w:eastAsia="仿宋_GB2312" w:cs="Times New Roman"/>
          <w:sz w:val="32"/>
          <w:highlight w:val="none"/>
        </w:rPr>
        <w:t>，构建具有医药鲜明特色，服务大健康的综合办学体系。主要开办高职专科教育，附</w:t>
      </w:r>
      <w:r>
        <w:rPr>
          <w:rFonts w:hint="default" w:ascii="Times New Roman" w:hAnsi="Times New Roman" w:eastAsia="仿宋_GB2312" w:cs="Times New Roman"/>
          <w:color w:val="000000"/>
          <w:sz w:val="32"/>
          <w:highlight w:val="none"/>
        </w:rPr>
        <w:t>设中等职业教育和继续教育，积极联办职业本科教育。学校立足</w:t>
      </w:r>
      <w:r>
        <w:rPr>
          <w:rFonts w:hint="default" w:ascii="Times New Roman" w:hAnsi="Times New Roman" w:eastAsia="仿宋_GB2312" w:cs="Times New Roman"/>
          <w:sz w:val="32"/>
          <w:highlight w:val="none"/>
        </w:rPr>
        <w:t>郑州、面向河南、辐射全国，培养服务</w:t>
      </w:r>
      <w:r>
        <w:rPr>
          <w:rFonts w:hint="default" w:ascii="Times New Roman" w:hAnsi="Times New Roman" w:eastAsia="仿宋_GB2312" w:cs="Times New Roman"/>
          <w:color w:val="000000"/>
          <w:sz w:val="32"/>
          <w:highlight w:val="none"/>
        </w:rPr>
        <w:t>医药卫生健康</w:t>
      </w:r>
      <w:r>
        <w:rPr>
          <w:rFonts w:hint="default" w:ascii="Times New Roman" w:hAnsi="Times New Roman" w:eastAsia="仿宋_GB2312" w:cs="Times New Roman"/>
          <w:sz w:val="32"/>
          <w:highlight w:val="none"/>
        </w:rPr>
        <w:t>一线的</w:t>
      </w:r>
      <w:r>
        <w:rPr>
          <w:rFonts w:hint="default" w:ascii="Times New Roman" w:hAnsi="Times New Roman" w:eastAsia="仿宋_GB2312" w:cs="Times New Roman"/>
          <w:color w:val="000000"/>
          <w:sz w:val="32"/>
          <w:highlight w:val="none"/>
        </w:rPr>
        <w:t>高素质技术技能型人才。</w:t>
      </w:r>
      <w:r>
        <w:rPr>
          <w:rFonts w:hint="default" w:ascii="Times New Roman" w:hAnsi="Times New Roman" w:eastAsia="仿宋_GB2312" w:cs="Times New Roman"/>
          <w:sz w:val="32"/>
          <w:highlight w:val="none"/>
        </w:rPr>
        <w:t>主动服务区域经济社会发展，更好为医药健康事业发展，培养具有创新精神、实践能力和社会责任感</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德智体美劳全面发展的基层医药健康人才。</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（四）总体目标和基本思路</w:t>
      </w:r>
    </w:p>
    <w:p>
      <w:pPr>
        <w:spacing w:line="560" w:lineRule="exact"/>
        <w:ind w:firstLine="640"/>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1.总体目标</w:t>
      </w:r>
    </w:p>
    <w:p>
      <w:pPr>
        <w:spacing w:line="560" w:lineRule="exact"/>
        <w:ind w:firstLine="640"/>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到2025年，学校整体建设取得新成效。高等学历教育为主体、中等职业教育和继续教育为两翼的“一体两翼”办学格局逐步确立。</w:t>
      </w:r>
      <w:r>
        <w:rPr>
          <w:rFonts w:hint="default" w:ascii="Times New Roman" w:hAnsi="Times New Roman" w:eastAsia="仿宋_GB2312" w:cs="Times New Roman"/>
          <w:color w:val="000000"/>
          <w:sz w:val="32"/>
          <w:highlight w:val="none"/>
        </w:rPr>
        <w:t>教学、科研、技能“三位一体”</w:t>
      </w:r>
      <w:r>
        <w:rPr>
          <w:rFonts w:hint="default" w:ascii="Times New Roman" w:hAnsi="Times New Roman" w:eastAsia="仿宋_GB2312" w:cs="Times New Roman"/>
          <w:sz w:val="32"/>
          <w:highlight w:val="none"/>
        </w:rPr>
        <w:t>办学特色更加鲜明。医护类、康养类、健康管理类等专业布局基本完成。专业、师资、校园环境建设取得新成绩，人才培养质量、科学研究水平、文化传承创新、竞赛实力持续提升，更好地服务中原经济区和郑州国家中心城市建设。创特色、上水平、丰内涵、强实力、树品牌，跨入河南民办高校第一方阵，跻身河南“双高校”建设行列。通过3-5年的建设，要在“十五五”初期建成省内高水平高等职业院校，力争在“十五五”末期实现升本目标。不断满足人民群众日益增长的高质量健康服务需求，服务国家重大战略和区域经济社会发展能力显著增强。</w:t>
      </w:r>
    </w:p>
    <w:p>
      <w:pPr>
        <w:spacing w:line="560" w:lineRule="exact"/>
        <w:ind w:firstLine="640"/>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2.基本思路</w:t>
      </w:r>
    </w:p>
    <w:p>
      <w:pPr>
        <w:spacing w:line="560" w:lineRule="exact"/>
        <w:ind w:firstLine="640"/>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以人才培养为中心，以师资团队建设为重点，以专业建设为平台，以教育教学改革为关键，以基础条件为保障，继承与创新并举，</w:t>
      </w:r>
      <w:r>
        <w:rPr>
          <w:rFonts w:hint="default" w:ascii="Times New Roman" w:hAnsi="Times New Roman" w:eastAsia="仿宋_GB2312" w:cs="Times New Roman"/>
          <w:b/>
          <w:bCs/>
          <w:sz w:val="32"/>
          <w:highlight w:val="none"/>
        </w:rPr>
        <w:t>建成以医药为核心，以大健康为主体，以理、工、商、管类专业为辅助的高水平特色名校。</w:t>
      </w:r>
      <w:r>
        <w:rPr>
          <w:rFonts w:hint="default" w:ascii="Times New Roman" w:hAnsi="Times New Roman" w:eastAsia="仿宋_GB2312" w:cs="Times New Roman"/>
          <w:sz w:val="32"/>
          <w:highlight w:val="none"/>
        </w:rPr>
        <w:t>经建校元年的“基础建设年”及其后的“管理建设年”、“质量提升年”、“合格评估年”和“双高建设年”发展，一年一个侧重点，高质量完成学校合格评估，在“十四五”末进入双高职业院校建设行列，实现学校“十四五”建设总目标。</w:t>
      </w:r>
    </w:p>
    <w:p>
      <w:pPr>
        <w:spacing w:line="560" w:lineRule="exact"/>
        <w:ind w:firstLine="640"/>
        <w:jc w:val="both"/>
        <w:outlineLvl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四、发展战略</w:t>
      </w:r>
    </w:p>
    <w:p>
      <w:pPr>
        <w:spacing w:line="560" w:lineRule="exact"/>
        <w:ind w:firstLine="640"/>
        <w:jc w:val="both"/>
        <w:outlineLvl w:val="2"/>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lang w:val="en-US" w:eastAsia="zh-CN"/>
        </w:rPr>
        <w:t>根据学校发展实际和当前所处的发展阶段，</w:t>
      </w:r>
      <w:r>
        <w:rPr>
          <w:rFonts w:hint="eastAsia" w:ascii="Times New Roman" w:hAnsi="Times New Roman" w:eastAsia="仿宋_GB2312" w:cs="Times New Roman"/>
          <w:sz w:val="32"/>
          <w:highlight w:val="none"/>
          <w:lang w:val="en-US" w:eastAsia="zh-CN"/>
        </w:rPr>
        <w:t>大力</w:t>
      </w:r>
      <w:r>
        <w:rPr>
          <w:rFonts w:hint="default" w:ascii="Times New Roman" w:hAnsi="Times New Roman" w:eastAsia="仿宋_GB2312" w:cs="Times New Roman"/>
          <w:sz w:val="32"/>
          <w:highlight w:val="none"/>
          <w:lang w:val="en-US" w:eastAsia="zh-CN"/>
        </w:rPr>
        <w:t>实施“人才强校”“特色兴校”“文化名校”三大战略</w:t>
      </w:r>
      <w:r>
        <w:rPr>
          <w:rFonts w:hint="eastAsia" w:ascii="Times New Roman" w:hAnsi="Times New Roman" w:eastAsia="仿宋_GB2312" w:cs="Times New Roman"/>
          <w:sz w:val="32"/>
          <w:highlight w:val="none"/>
          <w:lang w:val="en-US" w:eastAsia="zh-CN"/>
        </w:rPr>
        <w:t>。</w:t>
      </w:r>
    </w:p>
    <w:p>
      <w:pPr>
        <w:spacing w:line="560" w:lineRule="exact"/>
        <w:ind w:firstLine="640"/>
        <w:jc w:val="both"/>
        <w:outlineLvl w:val="0"/>
        <w:rPr>
          <w:rFonts w:hint="eastAsia" w:ascii="仿宋_GB2312" w:hAnsi="仿宋_GB2312" w:eastAsia="仿宋_GB2312" w:cs="仿宋_GB2312"/>
          <w:sz w:val="32"/>
          <w:highlight w:val="none"/>
        </w:rPr>
      </w:pPr>
      <w:r>
        <w:rPr>
          <w:rFonts w:hint="default" w:ascii="Times New Roman" w:hAnsi="Times New Roman" w:eastAsia="楷体_GB2312" w:cs="Times New Roman"/>
          <w:b/>
          <w:bCs/>
          <w:sz w:val="32"/>
          <w:highlight w:val="none"/>
        </w:rPr>
        <w:t>人才是立校之基。</w:t>
      </w:r>
      <w:r>
        <w:rPr>
          <w:rFonts w:hint="eastAsia" w:ascii="仿宋_GB2312" w:hAnsi="仿宋_GB2312" w:eastAsia="仿宋_GB2312" w:cs="仿宋_GB2312"/>
          <w:sz w:val="32"/>
          <w:highlight w:val="none"/>
        </w:rPr>
        <w:t>“大学者，非大楼之谓也，乃大师之谓也”，人才始终是高校发展的核心竞争力，高校成功的关键在于人，在于那些富有激情和敬业精神的教师、科研和管理人才。没有一流的教师队伍，就不可能有一流的教学水平和质量。为此，学校深入学习贯彻习近平总书记新时代人才工作的新理念、新战略、新举措，大力实施“引育并举、重在培养”的“人才强校”战略。</w:t>
      </w:r>
    </w:p>
    <w:p>
      <w:pPr>
        <w:spacing w:line="560" w:lineRule="exact"/>
        <w:ind w:firstLine="640"/>
        <w:jc w:val="both"/>
        <w:outlineLvl w:val="0"/>
        <w:rPr>
          <w:rFonts w:hint="eastAsia" w:ascii="仿宋_GB2312" w:hAnsi="仿宋_GB2312" w:eastAsia="仿宋_GB2312" w:cs="仿宋_GB2312"/>
          <w:sz w:val="32"/>
          <w:highlight w:val="none"/>
        </w:rPr>
      </w:pPr>
      <w:r>
        <w:rPr>
          <w:rFonts w:hint="default" w:ascii="Times New Roman" w:hAnsi="Times New Roman" w:eastAsia="楷体_GB2312" w:cs="Times New Roman"/>
          <w:b/>
          <w:bCs/>
          <w:sz w:val="32"/>
          <w:highlight w:val="none"/>
        </w:rPr>
        <w:t>特色是兴校之本</w:t>
      </w:r>
      <w:r>
        <w:rPr>
          <w:rFonts w:hint="eastAsia" w:ascii="Times New Roman" w:hAnsi="Times New Roman" w:eastAsia="楷体_GB2312" w:cs="Times New Roman"/>
          <w:b/>
          <w:bCs/>
          <w:sz w:val="32"/>
          <w:highlight w:val="none"/>
          <w:lang w:eastAsia="zh-CN"/>
        </w:rPr>
        <w:t>。</w:t>
      </w:r>
      <w:r>
        <w:rPr>
          <w:rFonts w:hint="eastAsia" w:ascii="仿宋_GB2312" w:hAnsi="仿宋_GB2312" w:eastAsia="仿宋_GB2312" w:cs="仿宋_GB2312"/>
          <w:sz w:val="32"/>
          <w:highlight w:val="none"/>
        </w:rPr>
        <w:t>特色发展，体现了一所高校的优质发展特征，是人才培养质量和学校管理水平的综合反映，是获取持续竞争优势的重要源泉，是通往创建知名大学的必由之路。特色办学对于保障教育质量，丰富和提升教育内涵具有重要的积极作用。办出特色、办出品牌是我们立足职业教育，在当前高校林立，竞争激烈的情况下，赢得一席之地的关键法宝。为此，学校精心凝练，打造办学特色，坚持以特色取胜，在办学特色上狠下功夫，大力实施“特色兴校”战略。</w:t>
      </w:r>
    </w:p>
    <w:p>
      <w:pPr>
        <w:spacing w:line="560" w:lineRule="exact"/>
        <w:ind w:firstLine="640"/>
        <w:jc w:val="both"/>
        <w:outlineLvl w:val="0"/>
        <w:rPr>
          <w:rFonts w:hint="eastAsia" w:ascii="仿宋_GB2312" w:hAnsi="仿宋_GB2312" w:eastAsia="仿宋_GB2312" w:cs="仿宋_GB2312"/>
          <w:sz w:val="32"/>
          <w:highlight w:val="none"/>
        </w:rPr>
      </w:pPr>
      <w:r>
        <w:rPr>
          <w:rFonts w:hint="eastAsia" w:ascii="Times New Roman" w:hAnsi="Times New Roman" w:eastAsia="楷体_GB2312" w:cs="Times New Roman"/>
          <w:b/>
          <w:bCs/>
          <w:sz w:val="32"/>
          <w:highlight w:val="none"/>
          <w:lang w:val="en-US" w:eastAsia="zh-CN"/>
        </w:rPr>
        <w:t>文化是名校之源。</w:t>
      </w:r>
      <w:r>
        <w:rPr>
          <w:rFonts w:hint="default" w:ascii="仿宋_GB2312" w:hAnsi="仿宋_GB2312" w:eastAsia="仿宋_GB2312" w:cs="仿宋_GB2312"/>
          <w:sz w:val="32"/>
          <w:highlight w:val="none"/>
        </w:rPr>
        <w:t>大学文化是学校的灵魂，是学校凝聚内在向心力的黏合剂。</w:t>
      </w:r>
      <w:r>
        <w:rPr>
          <w:rFonts w:hint="eastAsia" w:ascii="仿宋_GB2312" w:hAnsi="仿宋_GB2312" w:eastAsia="仿宋_GB2312" w:cs="仿宋_GB2312"/>
          <w:sz w:val="32"/>
          <w:highlight w:val="none"/>
        </w:rPr>
        <w:t>我校地处岐黄文化发源地，根植</w:t>
      </w:r>
      <w:r>
        <w:rPr>
          <w:rFonts w:hint="eastAsia" w:ascii="仿宋_GB2312" w:hAnsi="仿宋_GB2312" w:eastAsia="仿宋_GB2312" w:cs="仿宋_GB2312"/>
          <w:sz w:val="32"/>
          <w:highlight w:val="none"/>
          <w:lang w:eastAsia="zh-CN"/>
        </w:rPr>
        <w:t>中华医药文化</w:t>
      </w:r>
      <w:r>
        <w:rPr>
          <w:rFonts w:hint="eastAsia" w:ascii="仿宋_GB2312" w:hAnsi="仿宋_GB2312" w:eastAsia="仿宋_GB2312" w:cs="仿宋_GB2312"/>
          <w:sz w:val="32"/>
          <w:highlight w:val="none"/>
        </w:rPr>
        <w:t>沃土，医药健康、仁慈济世文化底蕴丰厚，深刻影响着教学、管理、生活，影响着师生员工心理和价值认同，形成以校风、学风为标志的大学文化。深蕴的大学文化气质会外化为社会形象和信誉，是学校发展最强劲的软实力。为此，学校充分发挥中</w:t>
      </w:r>
      <w:r>
        <w:rPr>
          <w:rFonts w:hint="eastAsia" w:ascii="仿宋_GB2312" w:hAnsi="仿宋_GB2312" w:eastAsia="仿宋_GB2312" w:cs="仿宋_GB2312"/>
          <w:sz w:val="32"/>
          <w:highlight w:val="none"/>
          <w:lang w:val="en-US" w:eastAsia="zh-CN"/>
        </w:rPr>
        <w:t>华</w:t>
      </w:r>
      <w:r>
        <w:rPr>
          <w:rFonts w:hint="eastAsia" w:ascii="仿宋_GB2312" w:hAnsi="仿宋_GB2312" w:eastAsia="仿宋_GB2312" w:cs="仿宋_GB2312"/>
          <w:sz w:val="32"/>
          <w:highlight w:val="none"/>
        </w:rPr>
        <w:t>医药“根文化”资源优势，大力实施“文化名校”战略。</w:t>
      </w:r>
    </w:p>
    <w:p>
      <w:pPr>
        <w:spacing w:line="560" w:lineRule="exact"/>
        <w:ind w:firstLine="640"/>
        <w:jc w:val="both"/>
        <w:outlineLvl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五、主要任务</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lang w:eastAsia="zh-CN"/>
        </w:rPr>
        <w:t>（一）</w:t>
      </w:r>
      <w:r>
        <w:rPr>
          <w:rFonts w:hint="default" w:ascii="Times New Roman" w:hAnsi="Times New Roman" w:eastAsia="楷体_GB2312" w:cs="Times New Roman"/>
          <w:b/>
          <w:bCs/>
          <w:sz w:val="32"/>
          <w:highlight w:val="none"/>
        </w:rPr>
        <w:t>健全领导体制机制，提升领导班子治校理政能力</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坚持理事会领导下的校长负责制，突出党委政治核心和监督保障作用。确保法律赋予理事会的最高决策权，完善理事会议事制度，坚持民主集中制，不断提高理事会科学决策、民主决策、依法决策的能力和水平，打造严谨、务实、高效的决策团队。落实校长的治校权，校行政要以“组织力、引领力、创新力”为抓手，构建上下贯通、执行有力的治理体系和行政管理队伍。充分发挥党委的监督保障作用，打造一支双向进入、相互融合、齐心协力、能谋善断的领导班子。推进党建工作与业务工作深度融合，铸就党政工作合力，确保学校各项工作、各个环节，稳定、高效运转。</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2.提高领导班子治校理政能力。进一步推动校领导班子理正教育思想、理顺管理规程、理清工作思路，促进管理的民主性、科学性和务实性。为能集百家之长，</w:t>
      </w:r>
      <w:r>
        <w:rPr>
          <w:rFonts w:hint="eastAsia" w:ascii="Times New Roman" w:hAnsi="Times New Roman" w:eastAsia="仿宋_GB2312" w:cs="Times New Roman"/>
          <w:sz w:val="32"/>
          <w:highlight w:val="none"/>
          <w:lang w:val="en-US" w:eastAsia="zh-CN"/>
        </w:rPr>
        <w:t>我校</w:t>
      </w:r>
      <w:r>
        <w:rPr>
          <w:rFonts w:hint="default" w:ascii="Times New Roman" w:hAnsi="Times New Roman" w:eastAsia="仿宋_GB2312" w:cs="Times New Roman"/>
          <w:sz w:val="32"/>
          <w:highlight w:val="none"/>
        </w:rPr>
        <w:t>在每年5月份举办“郑州医药健康职业学院高质量发展论坛”，邀请知名学者、专家、企业家及各层各界代表，为学校发展把脉问诊，建言献策，为领导决策提供科学依据，保证学校健康发展。更好地引领学校全面发展、特色发展、稳定发展。</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3.党建引领发展。坚持把党的政治建设摆在首位</w:t>
      </w:r>
      <w:r>
        <w:rPr>
          <w:rFonts w:hint="default" w:ascii="Times New Roman" w:hAnsi="Times New Roman" w:eastAsia="仿宋" w:cs="Times New Roman"/>
          <w:color w:val="333333"/>
          <w:sz w:val="28"/>
          <w:highlight w:val="none"/>
        </w:rPr>
        <w:t>。</w:t>
      </w:r>
      <w:r>
        <w:rPr>
          <w:rFonts w:hint="default" w:ascii="Times New Roman" w:hAnsi="Times New Roman" w:eastAsia="仿宋_GB2312" w:cs="Times New Roman"/>
          <w:sz w:val="32"/>
          <w:highlight w:val="none"/>
        </w:rPr>
        <w:t>贯彻《中国共产党普通高等学校基层组织工作条例》，落实新时代党的组织路线，加强和改进学校党的建设，做好在教师和学生中发展党员工作。党委要持之以恒抓好党的作风建设，以优良党风带校风促学风，严肃监督执纪问责，精准运用监督执纪“四种形态”，积极营造风清气正、崇廉尚实的政治生态。开展“样板党支部”创建工作，完善党组织书记抓基层党建工作述职评议考核制度，推动党建引领高质量发展向基层延伸、向纵深发展。严格</w:t>
      </w:r>
      <w:r>
        <w:rPr>
          <w:rFonts w:hint="default" w:ascii="Times New Roman" w:hAnsi="Times New Roman" w:eastAsia="仿宋_GB2312" w:cs="Times New Roman"/>
          <w:sz w:val="32"/>
          <w:highlight w:val="none"/>
          <w:lang w:eastAsia="zh-CN"/>
        </w:rPr>
        <w:t>落实</w:t>
      </w:r>
      <w:r>
        <w:rPr>
          <w:rFonts w:hint="default" w:ascii="Times New Roman" w:hAnsi="Times New Roman" w:eastAsia="仿宋_GB2312" w:cs="Times New Roman"/>
          <w:sz w:val="32"/>
          <w:highlight w:val="none"/>
        </w:rPr>
        <w:t>意识形态工作责任制，牢牢把握学校意识形态工作领导权、管理权、话语权，做好师生思想政治工作。</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w:t>
      </w:r>
      <w:r>
        <w:rPr>
          <w:rFonts w:hint="eastAsia" w:ascii="Times New Roman" w:hAnsi="Times New Roman" w:eastAsia="楷体_GB2312" w:cs="Times New Roman"/>
          <w:b/>
          <w:bCs/>
          <w:sz w:val="32"/>
          <w:highlight w:val="none"/>
          <w:lang w:val="en-US" w:eastAsia="zh-CN"/>
        </w:rPr>
        <w:t>二</w:t>
      </w:r>
      <w:r>
        <w:rPr>
          <w:rFonts w:hint="default" w:ascii="Times New Roman" w:hAnsi="Times New Roman" w:eastAsia="楷体_GB2312" w:cs="Times New Roman"/>
          <w:b/>
          <w:bCs/>
          <w:sz w:val="32"/>
          <w:highlight w:val="none"/>
        </w:rPr>
        <w:t>）推动现代学校制度建设，提升学校治理水平</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.完善“理事会领导、校长负责、党委核心、教授治学、依法治校、民主管理、社会参与”的现代大学制度。进一步规范党委会、校长办公会、基层党组织会议议事程序。充</w:t>
      </w:r>
      <w:r>
        <w:rPr>
          <w:rFonts w:hint="default" w:ascii="Times New Roman" w:hAnsi="Times New Roman" w:eastAsia="仿宋_GB2312" w:cs="Times New Roman"/>
          <w:color w:val="auto"/>
          <w:sz w:val="32"/>
          <w:highlight w:val="none"/>
        </w:rPr>
        <w:t>分发挥民主党派、团委、学术委员会、学生会的作用。扎实做好各项制度的立、改、废、释工作，修订完善《学校章程》《制度汇编》。</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坚持依法治校。深入落实重大行政决策的公众参与、专家论证、风险评估、合法性审查、集体讨论决定程序，推进决策制度科学、程序正当、民主公开、责任明确，以法治思维和法治方式引领、推动、保障学校事业发展。加强法制宣传教育，增强师生的法治意识。完善法律顾问制度，持续健全法律风险防控体系。认真执行信息公开制度，自觉接受广大师生和社会各界的监督。积极创建“依法治校示范校”。</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color w:val="auto"/>
          <w:sz w:val="32"/>
          <w:highlight w:val="none"/>
          <w:lang w:val="en-US" w:eastAsia="zh-CN"/>
        </w:rPr>
        <w:t>6</w:t>
      </w:r>
      <w:r>
        <w:rPr>
          <w:rFonts w:hint="default" w:ascii="Times New Roman" w:hAnsi="Times New Roman" w:eastAsia="仿宋_GB2312" w:cs="Times New Roman"/>
          <w:color w:val="auto"/>
          <w:sz w:val="32"/>
          <w:highlight w:val="none"/>
        </w:rPr>
        <w:t>.按照“简政放权、放管结合、优化服务”的原则，调整优化管理部门机构设置和工作职能，不断完善校园公共服务体系，持续提升管理服务水平和后勤保障能力。规范教学单位机构设置，健全</w:t>
      </w:r>
      <w:r>
        <w:rPr>
          <w:rFonts w:hint="eastAsia" w:ascii="Times New Roman" w:hAnsi="Times New Roman" w:eastAsia="仿宋_GB2312" w:cs="Times New Roman"/>
          <w:color w:val="auto"/>
          <w:sz w:val="32"/>
          <w:highlight w:val="none"/>
          <w:lang w:eastAsia="zh-CN"/>
        </w:rPr>
        <w:t>“</w:t>
      </w:r>
      <w:r>
        <w:rPr>
          <w:rFonts w:hint="eastAsia" w:ascii="Times New Roman" w:hAnsi="Times New Roman" w:eastAsia="仿宋_GB2312" w:cs="Times New Roman"/>
          <w:color w:val="auto"/>
          <w:sz w:val="32"/>
          <w:highlight w:val="none"/>
          <w:lang w:val="en-US" w:eastAsia="zh-CN"/>
        </w:rPr>
        <w:t>校院”</w:t>
      </w:r>
      <w:r>
        <w:rPr>
          <w:rFonts w:hint="default" w:ascii="Times New Roman" w:hAnsi="Times New Roman" w:eastAsia="仿宋_GB2312" w:cs="Times New Roman"/>
          <w:color w:val="auto"/>
          <w:sz w:val="32"/>
          <w:highlight w:val="none"/>
        </w:rPr>
        <w:t>两级管理体制，推动资源配置向基层和一线倾斜。鼓励各教学单位开展对外合作交流，激发基层教学组织办学活力。</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7</w:t>
      </w:r>
      <w:r>
        <w:rPr>
          <w:rFonts w:hint="default" w:ascii="Times New Roman" w:hAnsi="Times New Roman" w:eastAsia="仿宋_GB2312" w:cs="Times New Roman"/>
          <w:sz w:val="32"/>
          <w:highlight w:val="none"/>
        </w:rPr>
        <w:t>.全面提升治理水平。进一步完善理事会领导下的校长负责制，明确责、权、利关系，形成党政分工合作、协调运行的工作机制，提升校领导班子的决策力，中层干部的执行力和</w:t>
      </w:r>
      <w:r>
        <w:rPr>
          <w:rFonts w:hint="default" w:ascii="Times New Roman" w:hAnsi="Times New Roman" w:eastAsia="仿宋_GB2312" w:cs="Times New Roman"/>
          <w:sz w:val="32"/>
          <w:highlight w:val="none"/>
          <w:lang w:eastAsia="zh-CN"/>
        </w:rPr>
        <w:t>全</w:t>
      </w:r>
      <w:r>
        <w:rPr>
          <w:rFonts w:hint="default" w:ascii="Times New Roman" w:hAnsi="Times New Roman" w:eastAsia="仿宋_GB2312" w:cs="Times New Roman"/>
          <w:sz w:val="32"/>
          <w:highlight w:val="none"/>
        </w:rPr>
        <w:t>体教职工</w:t>
      </w:r>
      <w:r>
        <w:rPr>
          <w:rFonts w:hint="default" w:ascii="Times New Roman" w:hAnsi="Times New Roman" w:eastAsia="仿宋_GB2312" w:cs="Times New Roman"/>
          <w:sz w:val="32"/>
          <w:highlight w:val="none"/>
          <w:lang w:eastAsia="zh-CN"/>
        </w:rPr>
        <w:t>的</w:t>
      </w:r>
      <w:r>
        <w:rPr>
          <w:rFonts w:hint="default" w:ascii="Times New Roman" w:hAnsi="Times New Roman" w:eastAsia="仿宋_GB2312" w:cs="Times New Roman"/>
          <w:sz w:val="32"/>
          <w:highlight w:val="none"/>
        </w:rPr>
        <w:t>向心力，确保学校又快又好发展。落实规章制度，实行目标管理、科学化管理。以章程为统领，围绕“双高校”创建目标，加强学术组织建设，健全以学术委员会为核心的学术管理体系与组织架构。</w:t>
      </w:r>
    </w:p>
    <w:p>
      <w:pPr>
        <w:spacing w:line="560" w:lineRule="exact"/>
        <w:ind w:firstLine="640"/>
        <w:jc w:val="both"/>
        <w:outlineLvl w:val="1"/>
        <w:rPr>
          <w:rFonts w:hint="eastAsia" w:ascii="楷体_GB2312" w:hAnsi="楷体_GB2312" w:eastAsia="楷体_GB2312" w:cs="楷体_GB2312"/>
          <w:b/>
          <w:bCs/>
          <w:sz w:val="32"/>
          <w:highlight w:val="none"/>
        </w:rPr>
      </w:pPr>
      <w:r>
        <w:rPr>
          <w:rFonts w:hint="eastAsia" w:ascii="楷体_GB2312" w:hAnsi="楷体_GB2312" w:eastAsia="楷体_GB2312" w:cs="楷体_GB2312"/>
          <w:b/>
          <w:bCs/>
          <w:sz w:val="32"/>
          <w:highlight w:val="none"/>
        </w:rPr>
        <w:t>（三）深化</w:t>
      </w:r>
      <w:r>
        <w:rPr>
          <w:rFonts w:hint="eastAsia" w:ascii="楷体_GB2312" w:hAnsi="楷体_GB2312" w:eastAsia="楷体_GB2312" w:cs="楷体_GB2312"/>
          <w:b/>
          <w:bCs/>
          <w:sz w:val="32"/>
          <w:highlight w:val="none"/>
          <w:lang w:val="en-US" w:eastAsia="zh-CN"/>
        </w:rPr>
        <w:t>教育教学</w:t>
      </w:r>
      <w:r>
        <w:rPr>
          <w:rFonts w:hint="eastAsia" w:ascii="楷体_GB2312" w:hAnsi="楷体_GB2312" w:eastAsia="楷体_GB2312" w:cs="楷体_GB2312"/>
          <w:b/>
          <w:bCs/>
          <w:sz w:val="32"/>
          <w:highlight w:val="none"/>
        </w:rPr>
        <w:t>改革，提升教育教学质量</w:t>
      </w:r>
    </w:p>
    <w:p>
      <w:pPr>
        <w:spacing w:line="560" w:lineRule="exact"/>
        <w:ind w:firstLine="640"/>
        <w:jc w:val="both"/>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8</w:t>
      </w:r>
      <w:r>
        <w:rPr>
          <w:rFonts w:hint="default" w:ascii="Times New Roman" w:hAnsi="Times New Roman" w:eastAsia="仿宋_GB2312" w:cs="Times New Roman"/>
          <w:sz w:val="32"/>
          <w:highlight w:val="none"/>
        </w:rPr>
        <w:t>.坚持教育教学中心地位</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完成“高等职业学校专科教学工作合格评估”工作。开展基层教学组织达标创优工作，组织实施教师基本功大赛，</w:t>
      </w:r>
      <w:r>
        <w:rPr>
          <w:rFonts w:hint="default" w:ascii="Times New Roman" w:hAnsi="Times New Roman" w:eastAsia="仿宋_GB2312" w:cs="Times New Roman"/>
          <w:color w:val="auto"/>
          <w:sz w:val="32"/>
          <w:highlight w:val="none"/>
        </w:rPr>
        <w:t>培育3-5个“省级优秀基层教学组织”。</w:t>
      </w:r>
      <w:r>
        <w:rPr>
          <w:rFonts w:hint="default" w:ascii="Times New Roman" w:hAnsi="Times New Roman" w:eastAsia="仿宋_GB2312" w:cs="Times New Roman"/>
          <w:sz w:val="32"/>
          <w:highlight w:val="none"/>
        </w:rPr>
        <w:t>动态调整《人才培养方案》，深入推进教材、教法改革。加强网络学习空间建设应用，促进信息技术与教育教学融合发展，打造智慧教学平台，丰富网络教学资源，建设一批智慧教室、智慧场馆，逐步建设数字化教学监控系统、课程考核管理系统及标准化考场四大系统为一体的数字化教学管理系统，实现教学管理的科学化、信息化和规范化。</w:t>
      </w:r>
      <w:r>
        <w:rPr>
          <w:rFonts w:hint="eastAsia" w:ascii="Times New Roman" w:hAnsi="Times New Roman" w:eastAsia="仿宋_GB2312" w:cs="Times New Roman"/>
          <w:sz w:val="32"/>
          <w:highlight w:val="none"/>
          <w:lang w:val="en-US" w:eastAsia="zh-CN"/>
        </w:rPr>
        <w:t>重视做好公共艺术教育工作，建立公共艺术教育委员会，为公共艺术教育工作开展创造良好的条件。</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9</w:t>
      </w:r>
      <w:r>
        <w:rPr>
          <w:rFonts w:hint="default" w:ascii="Times New Roman" w:hAnsi="Times New Roman" w:eastAsia="仿宋_GB2312" w:cs="Times New Roman"/>
          <w:sz w:val="32"/>
          <w:highlight w:val="none"/>
        </w:rPr>
        <w:t>.加强教学质量管理，完善质量保障体系。实施“教学</w:t>
      </w:r>
      <w:r>
        <w:rPr>
          <w:rFonts w:hint="default" w:ascii="Times New Roman" w:hAnsi="Times New Roman" w:eastAsia="仿宋_GB2312" w:cs="Times New Roman"/>
          <w:color w:val="auto"/>
          <w:sz w:val="32"/>
          <w:highlight w:val="none"/>
        </w:rPr>
        <w:t>质量</w:t>
      </w:r>
      <w:r>
        <w:rPr>
          <w:rFonts w:hint="default" w:ascii="Times New Roman" w:hAnsi="Times New Roman" w:eastAsia="仿宋_GB2312" w:cs="Times New Roman"/>
          <w:sz w:val="32"/>
          <w:highlight w:val="none"/>
        </w:rPr>
        <w:t>提升工程”。成立质量监控与评估领导小组，完善教学质量保障体系。加强教育教学督导，建立学校教学质量监控体系，制定科学的教育教学评价标准，加强和深化人才培养各环节质量管理。健全“校、系、院（企）”教学组织管理系统，突出多元主体共同管理，协同育人。建立健全校</w:t>
      </w:r>
      <w:r>
        <w:rPr>
          <w:rFonts w:hint="default" w:ascii="Times New Roman" w:hAnsi="Times New Roman" w:eastAsia="仿宋_GB2312" w:cs="Times New Roman"/>
          <w:color w:val="000000"/>
          <w:sz w:val="32"/>
          <w:highlight w:val="none"/>
        </w:rPr>
        <w:t>院</w:t>
      </w:r>
      <w:r>
        <w:rPr>
          <w:rFonts w:hint="default" w:ascii="Times New Roman" w:hAnsi="Times New Roman" w:eastAsia="仿宋_GB2312" w:cs="Times New Roman"/>
          <w:sz w:val="32"/>
          <w:highlight w:val="none"/>
        </w:rPr>
        <w:t>（企）组织机构体制机制，发挥各级教学管理机构的职能，建立教学工作诊断与改进制度，确保教学质量稳步提升。进一步完善毕业生就业质量、在校生学习全程跟踪、教师发展、教学质量管理等方面的数据采集和评价，定时发布年度质量报告。</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eastAsia" w:ascii="Times New Roman" w:hAnsi="Times New Roman" w:eastAsia="仿宋_GB2312" w:cs="Times New Roman"/>
          <w:sz w:val="32"/>
          <w:highlight w:val="none"/>
          <w:lang w:val="en-US" w:eastAsia="zh-CN"/>
        </w:rPr>
        <w:t>0</w:t>
      </w:r>
      <w:r>
        <w:rPr>
          <w:rFonts w:hint="default" w:ascii="Times New Roman" w:hAnsi="Times New Roman" w:eastAsia="仿宋_GB2312" w:cs="Times New Roman"/>
          <w:sz w:val="32"/>
          <w:highlight w:val="none"/>
        </w:rPr>
        <w:t>.以赛促学，夯实竞赛水平。围绕学生技能提升制定《郑州医药健康职业学院技能竞赛制度》，对接学生职（执）业资格考试项目或素质提升广泛开展各类校内专业技能竞赛，同时完善学校《专业技能竞赛管理办法》。鼓励师生积极参加教学主管部门或行业组织的各类专业技能竞赛、教学技能比赛，以赛促教、以赛促改、以赛促学，通过广泛开展技能比赛活动，在校内营造比学赶超的良好学习氛围。按照突出特色，彰显优势的原则，持续优化重点项目布局，提升参赛队伍建设水平，力争在市级、省级护理技能、康复技能等各类技能大赛中有所突破。</w:t>
      </w:r>
    </w:p>
    <w:p>
      <w:pPr>
        <w:spacing w:line="560" w:lineRule="exact"/>
        <w:ind w:firstLine="640"/>
        <w:jc w:val="both"/>
        <w:rPr>
          <w:rFonts w:hint="default"/>
          <w:highlight w:val="none"/>
        </w:rPr>
      </w:pPr>
      <w:r>
        <w:rPr>
          <w:rFonts w:hint="default" w:ascii="Times New Roman" w:hAnsi="Times New Roman" w:eastAsia="仿宋_GB2312" w:cs="Times New Roman"/>
          <w:sz w:val="32"/>
          <w:highlight w:val="none"/>
        </w:rPr>
        <w:t>1</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.创新</w:t>
      </w:r>
      <w:r>
        <w:rPr>
          <w:rFonts w:hint="eastAsia" w:ascii="Times New Roman" w:hAnsi="Times New Roman" w:eastAsia="仿宋_GB2312" w:cs="Times New Roman"/>
          <w:sz w:val="32"/>
          <w:highlight w:val="none"/>
          <w:lang w:val="en-US" w:eastAsia="zh-CN"/>
        </w:rPr>
        <w:t>人才</w:t>
      </w:r>
      <w:r>
        <w:rPr>
          <w:rFonts w:hint="default" w:ascii="Times New Roman" w:hAnsi="Times New Roman" w:eastAsia="仿宋_GB2312" w:cs="Times New Roman"/>
          <w:sz w:val="32"/>
          <w:highlight w:val="none"/>
        </w:rPr>
        <w:t>模式，加大创新型、应用型、复合型人才培养力度</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落实“三层次”（课堂实践、课外实践、社会实践）、“三环节”（实验、实训、实习）相结合的实践教学体系。根据人才培养目标，结合行业市场需求，大力提升实习、实训基地标准化、专业化建设水平。创新拔尖人才培养模式，制定“优选人才培养方案”。实施就业能力提升计划，开展1+X证书试点和特色技能培训。</w:t>
      </w:r>
      <w:r>
        <w:rPr>
          <w:rFonts w:hint="default" w:ascii="Times New Roman" w:hAnsi="Times New Roman" w:eastAsia="仿宋_GB2312" w:cs="Times New Roman"/>
          <w:sz w:val="32"/>
          <w:highlight w:val="none"/>
          <w:lang w:eastAsia="zh-CN"/>
        </w:rPr>
        <w:t>为</w:t>
      </w:r>
      <w:r>
        <w:rPr>
          <w:rFonts w:hint="default" w:ascii="Times New Roman" w:hAnsi="Times New Roman" w:eastAsia="仿宋_GB2312" w:cs="Times New Roman"/>
          <w:sz w:val="32"/>
          <w:highlight w:val="none"/>
        </w:rPr>
        <w:t>学生在取得学历学位证书的同时考取职业资格证书创造条件，提高学生岗位胜任能力和就业竞争力，确保毕业生稳定的高就业率。</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12.深化产教融合，加强校企（院）合作。建立校企（院）管理共同体，成立校企（院）机构，建立校企（院）师资共同体，实行专业双带头人制度，学校教师与院、企技术人员互聘共通，共同参与学校的专业教学过程；在专业建设、资源共享、产学研共建、校企（院）文化互通等各方面实现更加深入的互联互通，深化办学体制改革，激发办学活力。主动与具备条件的医院、企业在人才培养培训、技术创新、就业创业、社会服务、文化传承等方面开展合作。联合医院、企业开展“订单培养”和“现代学徒制”培养模式改革。校企（院）联合招生，分类考试录取，共同制定人才培养方案并实施校企（院）联合培养。积极探索集团化办学体制机制的创新实践。搭建校企共赢共进的有效途径，聚集优质资源，稳步提升人才培养质量，形成教育和产业良性互动、学校</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企业</w:t>
      </w:r>
      <w:r>
        <w:rPr>
          <w:rFonts w:hint="eastAsia" w:ascii="Times New Roman" w:hAnsi="Times New Roman" w:eastAsia="仿宋_GB2312" w:cs="Times New Roman"/>
          <w:sz w:val="32"/>
          <w:highlight w:val="none"/>
          <w:lang w:val="en-US" w:eastAsia="zh-CN"/>
        </w:rPr>
        <w:t>和</w:t>
      </w:r>
      <w:r>
        <w:rPr>
          <w:rFonts w:hint="default" w:ascii="Times New Roman" w:hAnsi="Times New Roman" w:eastAsia="仿宋_GB2312" w:cs="Times New Roman"/>
          <w:sz w:val="32"/>
          <w:highlight w:val="none"/>
        </w:rPr>
        <w:t>医院优势互补的发展格局。“十四五”末期，学校附属医院、教学医院、实习医院要达到50家以上，深入合作的大型企业要达到20家以上。</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eastAsia"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rPr>
        <w:t>.加大对教研科研支持力度，搭建科研平台。课题研究是学校教科研发展的重要手段，也是教师成长的重要途径。学校将拿出专项经费，大力支持青年教师开展科研工作，从开展校本课题的申报着手，通过校本立项，产出一大批校本科研成果，明确科研主攻方向，凝练一批高质量标志性教科研成果。鼓励教师开展为行业服务的课题研究，并积极争取市厅级、省部级及国家级课题研究。积极促进教学科研提升水平，加快成果转化，争取高层次成果。</w:t>
      </w:r>
      <w:r>
        <w:rPr>
          <w:rFonts w:hint="default" w:ascii="Times New Roman" w:hAnsi="Times New Roman" w:eastAsia="仿宋_GB2312" w:cs="Times New Roman"/>
          <w:color w:val="auto"/>
          <w:sz w:val="32"/>
          <w:highlight w:val="none"/>
        </w:rPr>
        <w:t>到2025年，建成一支结构合理、水平较高的教研、科研梯队，力争10个省级教育教学改革研究项目，5门省级规划教材，省级以上学术研究课题立项突破5项。</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.完善学术评价机制</w:t>
      </w:r>
      <w:r>
        <w:rPr>
          <w:rFonts w:hint="eastAsia" w:ascii="Times New Roman" w:hAnsi="Times New Roman" w:eastAsia="仿宋_GB2312" w:cs="Times New Roman"/>
          <w:sz w:val="32"/>
          <w:highlight w:val="none"/>
          <w:lang w:eastAsia="zh-CN"/>
        </w:rPr>
        <w:t>，稳步提高科研工作水平</w:t>
      </w:r>
      <w:r>
        <w:rPr>
          <w:rFonts w:hint="default" w:ascii="Times New Roman" w:hAnsi="Times New Roman" w:eastAsia="仿宋_GB2312" w:cs="Times New Roman"/>
          <w:sz w:val="32"/>
          <w:highlight w:val="none"/>
        </w:rPr>
        <w:t>。建立学术委员会，更加注重成果的原创水平、同行认可度、业界影响力，从一开始就建立起科研成果质量保障体制，形成“郑医成果”必是精品的良好科研氛围。健全科研项目投入产出绩效考核机制、科研成果转化奖励和收益分配机制，积极培育产、学、研、创良好生态。修订完善科研工作制度，统筹做好科研经费管理、科研成果鉴定和科研奖励激励工作。加强科研诚信建设，严防各类学术不端行为。</w:t>
      </w:r>
    </w:p>
    <w:p>
      <w:pPr>
        <w:spacing w:line="560" w:lineRule="exact"/>
        <w:ind w:firstLine="640"/>
        <w:jc w:val="both"/>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（四）</w:t>
      </w:r>
      <w:r>
        <w:rPr>
          <w:rFonts w:hint="eastAsia" w:ascii="Times New Roman" w:hAnsi="Times New Roman" w:eastAsia="楷体_GB2312" w:cs="Times New Roman"/>
          <w:b/>
          <w:bCs/>
          <w:sz w:val="32"/>
          <w:highlight w:val="none"/>
          <w:lang w:val="en-US" w:eastAsia="zh-CN"/>
        </w:rPr>
        <w:t>优化</w:t>
      </w:r>
      <w:r>
        <w:rPr>
          <w:rFonts w:hint="default" w:ascii="Times New Roman" w:hAnsi="Times New Roman" w:eastAsia="楷体_GB2312" w:cs="Times New Roman"/>
          <w:b/>
          <w:bCs/>
          <w:sz w:val="32"/>
          <w:highlight w:val="none"/>
        </w:rPr>
        <w:t>专业</w:t>
      </w:r>
      <w:r>
        <w:rPr>
          <w:rFonts w:hint="eastAsia" w:ascii="Times New Roman" w:hAnsi="Times New Roman" w:eastAsia="楷体_GB2312" w:cs="Times New Roman"/>
          <w:b/>
          <w:bCs/>
          <w:sz w:val="32"/>
          <w:highlight w:val="none"/>
          <w:lang w:val="en-US" w:eastAsia="zh-CN"/>
        </w:rPr>
        <w:t>体系建设</w:t>
      </w:r>
      <w:r>
        <w:rPr>
          <w:rFonts w:hint="default" w:ascii="Times New Roman" w:hAnsi="Times New Roman" w:eastAsia="楷体_GB2312" w:cs="Times New Roman"/>
          <w:b/>
          <w:bCs/>
          <w:sz w:val="32"/>
          <w:highlight w:val="none"/>
        </w:rPr>
        <w:t>，切实提升专业建设水平</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.优化专业结构，打造特色专业和专业群。坚持以医药卫生大类专业为</w:t>
      </w:r>
      <w:r>
        <w:rPr>
          <w:rFonts w:hint="default" w:ascii="Times New Roman" w:hAnsi="Times New Roman" w:eastAsia="仿宋_GB2312" w:cs="Times New Roman"/>
          <w:color w:val="000000"/>
          <w:sz w:val="32"/>
          <w:highlight w:val="none"/>
        </w:rPr>
        <w:t>主，根据社会发展需求不断增设新专业</w:t>
      </w:r>
      <w:r>
        <w:rPr>
          <w:rFonts w:hint="default" w:ascii="Times New Roman" w:hAnsi="Times New Roman" w:eastAsia="仿宋_GB2312" w:cs="Times New Roman"/>
          <w:sz w:val="32"/>
          <w:highlight w:val="none"/>
        </w:rPr>
        <w:t>，加快中医中药、养老服务、健康管理、老年康复等康养一体化专业设置。重点打造护理、康复治疗技术、药学、医学检验技术、口腔医学技术5个校级重点专业，以重点专业为龙头辐射构建五大专业群。做到重点投资，促进专业全面协调发展。通过5年建设，使学校专业总数达到</w:t>
      </w:r>
      <w:r>
        <w:rPr>
          <w:rFonts w:hint="default" w:ascii="Times New Roman" w:hAnsi="Times New Roman" w:eastAsia="仿宋_GB2312" w:cs="Times New Roman"/>
          <w:color w:val="auto"/>
          <w:sz w:val="32"/>
          <w:highlight w:val="none"/>
        </w:rPr>
        <w:t>40个，校级重点专业10个，力争开设5个医药卫生类国控专业，打造5个在</w:t>
      </w:r>
      <w:r>
        <w:rPr>
          <w:rFonts w:hint="default" w:ascii="Times New Roman" w:hAnsi="Times New Roman" w:eastAsia="仿宋_GB2312" w:cs="Times New Roman"/>
          <w:color w:val="000000"/>
          <w:sz w:val="32"/>
          <w:highlight w:val="none"/>
        </w:rPr>
        <w:t>省内具有较强影响力的品牌专业，</w:t>
      </w:r>
      <w:r>
        <w:rPr>
          <w:rFonts w:hint="default" w:ascii="Times New Roman" w:hAnsi="Times New Roman" w:eastAsia="仿宋_GB2312" w:cs="Times New Roman"/>
          <w:sz w:val="32"/>
          <w:highlight w:val="none"/>
        </w:rPr>
        <w:t>为社会培养一批高素质的医疗卫生、健康管理服务技术</w:t>
      </w:r>
      <w:r>
        <w:rPr>
          <w:rFonts w:hint="default" w:ascii="Times New Roman" w:hAnsi="Times New Roman" w:eastAsia="仿宋_GB2312" w:cs="Times New Roman"/>
          <w:color w:val="000000"/>
          <w:sz w:val="32"/>
          <w:highlight w:val="none"/>
        </w:rPr>
        <w:t>技能</w:t>
      </w:r>
      <w:r>
        <w:rPr>
          <w:rFonts w:hint="default" w:ascii="Times New Roman" w:hAnsi="Times New Roman" w:eastAsia="仿宋_GB2312" w:cs="Times New Roman"/>
          <w:sz w:val="32"/>
          <w:highlight w:val="none"/>
        </w:rPr>
        <w:t>人才，为中原崛起、黄河流域生态保护和高质量发展提供坚实的人才支撑。</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1</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深化专业课程改革，优化课程模式。深化课程体系改革，探索学分制管理体系。紧贴岗位实际工作过程，调整课程结构。建立动态修订、更新《专业人才培养方案》机制，调整课程体系，制定专业核心课程标准。根据生源多样化特点，调整课程设置，实施分类培养。系统进行课程开发和教材建设，全面推行学分制培养模式，推行与学分制相配套的课程体系开发和教学管理制度改革，构建以学分为基本单位的学习成果认定和积累制度，保证教育教学质量。</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w:t>
      </w:r>
      <w:r>
        <w:rPr>
          <w:rFonts w:hint="eastAsia" w:ascii="Times New Roman" w:hAnsi="Times New Roman" w:eastAsia="楷体_GB2312" w:cs="Times New Roman"/>
          <w:b/>
          <w:bCs/>
          <w:sz w:val="32"/>
          <w:highlight w:val="none"/>
          <w:lang w:val="en-US" w:eastAsia="zh-CN"/>
        </w:rPr>
        <w:t>五</w:t>
      </w:r>
      <w:r>
        <w:rPr>
          <w:rFonts w:hint="default" w:ascii="Times New Roman" w:hAnsi="Times New Roman" w:eastAsia="楷体_GB2312" w:cs="Times New Roman"/>
          <w:b/>
          <w:bCs/>
          <w:sz w:val="32"/>
          <w:highlight w:val="none"/>
        </w:rPr>
        <w:t>）落实立德树人根本任务，扎实做好学生工作</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17</w:t>
      </w:r>
      <w:r>
        <w:rPr>
          <w:rFonts w:hint="default" w:ascii="Times New Roman" w:hAnsi="Times New Roman" w:eastAsia="仿宋_GB2312" w:cs="Times New Roman"/>
          <w:sz w:val="32"/>
          <w:highlight w:val="none"/>
        </w:rPr>
        <w:t>.坚持用习近平新时代中国特色社会主义思想铸魂育人，通过专题部署深入开展贯彻党的教育方针专项行动，厚植学生爱党爱国情怀。建设高质量思政课程体系，不断丰富课程形式和课程内容，切实增强思政课的思想性、理论性、针对性。完善“三全育人”体制机制，将立德树人根本任务贯彻到教育教学和管理服务全过程，推动思政课程和课程思政协同发展，构建各类课程与思政课程同向同行、专业教育和思政教育有机融合的育人体系。有序推进书院制育人模式改革，探索“一站式”学生社区建设新模式。</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18</w:t>
      </w:r>
      <w:r>
        <w:rPr>
          <w:rFonts w:hint="default" w:ascii="Times New Roman" w:hAnsi="Times New Roman" w:eastAsia="仿宋_GB2312" w:cs="Times New Roman"/>
          <w:sz w:val="32"/>
          <w:highlight w:val="none"/>
        </w:rPr>
        <w:t>.坚持“五育并举”，优化课程体系。围绕素质教育和学生能力培养进一步优化课程体系，除按照国家相关要求开足思政课、就业课、劳动课、体育课、美育课外，进一步构建涵盖创新创业、传统文化、职业素养、人文与艺术、健康保健等内容、线上线下相结合的公共任选课程库，每年对课程库实行动态管理。完善课程教学资源，</w:t>
      </w:r>
      <w:r>
        <w:rPr>
          <w:rFonts w:hint="default" w:ascii="Times New Roman" w:hAnsi="Times New Roman" w:eastAsia="仿宋_GB2312" w:cs="Times New Roman"/>
          <w:color w:val="auto"/>
          <w:sz w:val="32"/>
          <w:highlight w:val="none"/>
        </w:rPr>
        <w:t>建设5门省级及以上专业教学资源库、10门校级及以上精品在线开放课程，建成5门省级精品在线课程，努</w:t>
      </w:r>
      <w:r>
        <w:rPr>
          <w:rFonts w:hint="default" w:ascii="Times New Roman" w:hAnsi="Times New Roman" w:eastAsia="仿宋_GB2312" w:cs="Times New Roman"/>
          <w:sz w:val="32"/>
          <w:highlight w:val="none"/>
        </w:rPr>
        <w:t>力培养德智体美劳全面发展的社会主义建设者和接班人。坚持立德为先、增智为要、健体为本、尚美为荣、精技为实。强化劳动教育树德、增智、强体、育美的综合育人功能，把劳动教育纳入人才培养全过程。加强学生军训工作，开展国防教育活动，提升学生国家安全意识。</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19</w:t>
      </w:r>
      <w:r>
        <w:rPr>
          <w:rFonts w:hint="default" w:ascii="Times New Roman" w:hAnsi="Times New Roman" w:eastAsia="仿宋_GB2312" w:cs="Times New Roman"/>
          <w:sz w:val="32"/>
          <w:highlight w:val="none"/>
        </w:rPr>
        <w:t>.加强思想引领、价值引导、心理疏导和日常管理服务，提升学生工作水平。制定《辅导员工作条例》《班主任工作条例》。坚持预防与教育并举，建立健全心理健康教育工作体系。完善共青团、学生会建设，调整优化学生社团设置，加强对学生社团的指导、监督和管理，打造朝气蓬勃、奋发有为、风清气正的学生干部队伍。组织开展形式多样、内容丰富的思政教育活动和医药文化活动，培育特色思政品牌和校园文化名片。实施青年马克思主义者培养工程，培养对党忠诚、信仰坚定、素质优良、作风过硬的青年政治骨干。发挥“第二课堂”隐性育人功能，创造条件让学生走出校门、接触社会、了解国情，实现知、情、意、行有机统一。</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w:t>
      </w:r>
      <w:r>
        <w:rPr>
          <w:rFonts w:hint="eastAsia" w:ascii="Times New Roman" w:hAnsi="Times New Roman" w:eastAsia="楷体_GB2312" w:cs="Times New Roman"/>
          <w:b/>
          <w:bCs/>
          <w:sz w:val="32"/>
          <w:highlight w:val="none"/>
          <w:lang w:val="en-US" w:eastAsia="zh-CN"/>
        </w:rPr>
        <w:t>六</w:t>
      </w:r>
      <w:r>
        <w:rPr>
          <w:rFonts w:hint="default" w:ascii="Times New Roman" w:hAnsi="Times New Roman" w:eastAsia="楷体_GB2312" w:cs="Times New Roman"/>
          <w:b/>
          <w:bCs/>
          <w:sz w:val="32"/>
          <w:highlight w:val="none"/>
        </w:rPr>
        <w:t>）健全教师管理体制机制，完善教职工管理制度</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eastAsia" w:ascii="Times New Roman" w:hAnsi="Times New Roman" w:eastAsia="仿宋_GB2312" w:cs="Times New Roman"/>
          <w:sz w:val="32"/>
          <w:highlight w:val="none"/>
          <w:lang w:val="en-US" w:eastAsia="zh-CN"/>
        </w:rPr>
        <w:t>0</w:t>
      </w:r>
      <w:r>
        <w:rPr>
          <w:rFonts w:hint="default" w:ascii="Times New Roman" w:hAnsi="Times New Roman" w:eastAsia="仿宋_GB2312" w:cs="Times New Roman"/>
          <w:sz w:val="32"/>
          <w:highlight w:val="none"/>
        </w:rPr>
        <w:t>.着力培养中青年骨干教师，搭建教师发展平台。坚持“以师为本、共同发展”的教师发展理念，积极构建教师教学成长发展培训服务体系，助力教师教学、科学研究等方面能力提升。实施“青年教师学历提升工程”，学校将出台《郑州医药健康职业鼓励在职教职工攻读硕士（博士）管理办法》等政策，鼓励青年教师提升学历，并对在职攻读硕士博士学位人员提供资金和政策等多方面的优惠条件。同时，学校还将划拨专项资金，加大师资培养力度，完善教师岗位培训机制，搭建培训与竞赛相结合的教师教学能力提升平台。实施校级“英才计划”，着力培养一批教学名师、学术名家，打造高水平教学、科研、竞赛团队。有序推进“青年带头人”培育工程。</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eastAsia" w:ascii="Times New Roman" w:hAnsi="Times New Roman" w:eastAsia="仿宋_GB2312" w:cs="Times New Roman"/>
          <w:sz w:val="32"/>
          <w:highlight w:val="none"/>
          <w:lang w:val="en-US" w:eastAsia="zh-CN"/>
        </w:rPr>
        <w:t>1</w:t>
      </w:r>
      <w:r>
        <w:rPr>
          <w:rFonts w:hint="default" w:ascii="Times New Roman" w:hAnsi="Times New Roman" w:eastAsia="仿宋_GB2312" w:cs="Times New Roman"/>
          <w:sz w:val="32"/>
          <w:highlight w:val="none"/>
        </w:rPr>
        <w:t>.拓展高层次人才引进渠道。出台《郑州医药健康职业学院高层次人才引进管理办法》等制度文件，围绕学校重点建设方向实施更积极、更开放、更有效的引才政策，坚持“不为所有、但求所用，不求所在、但求所为”的用人理念，加大高层次人才引进力度。量化教学单位高层次人才引进的指标和任务，从省内外非全职引进具有重要学术影响、取得突出研究成果的专家学者参与学科建设、教学科研建设工作。</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eastAsia" w:ascii="Times New Roman" w:hAnsi="Times New Roman" w:eastAsia="仿宋_GB2312" w:cs="Times New Roman"/>
          <w:sz w:val="32"/>
          <w:highlight w:val="none"/>
          <w:lang w:val="en-US" w:eastAsia="zh-CN"/>
        </w:rPr>
        <w:t>2</w:t>
      </w:r>
      <w:r>
        <w:rPr>
          <w:rFonts w:hint="default" w:ascii="Times New Roman" w:hAnsi="Times New Roman" w:eastAsia="仿宋_GB2312" w:cs="Times New Roman"/>
          <w:sz w:val="32"/>
          <w:highlight w:val="none"/>
        </w:rPr>
        <w:t>.深化绩效分配制度改革，完善教职工薪酬福利体系。采取有效措施，畅通各级各类人才多维发展渠道。根据国家《深化新时代教育评价改革总体方案》，健全完善职称自主评聘制度建设，完善教职工管理制度，提升行政管理队伍职业化水平。优化兼职教师遴选、考核等制度，稳定兼职教师队伍。深化岗位聘用改革，修订管理办法，优化考核指标，严格聘期考核，强化结果应用。</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eastAsia" w:ascii="Times New Roman" w:hAnsi="Times New Roman" w:eastAsia="仿宋_GB2312" w:cs="Times New Roman"/>
          <w:sz w:val="32"/>
          <w:highlight w:val="none"/>
          <w:lang w:val="en-US" w:eastAsia="zh-CN"/>
        </w:rPr>
        <w:t>3</w:t>
      </w:r>
      <w:r>
        <w:rPr>
          <w:rFonts w:hint="default" w:ascii="Times New Roman" w:hAnsi="Times New Roman" w:eastAsia="仿宋_GB2312" w:cs="Times New Roman"/>
          <w:sz w:val="32"/>
          <w:highlight w:val="none"/>
        </w:rPr>
        <w:t>.坚持“四有老师”标准，狠抓师德师风建设。加强教师职业道德培养，以热爱学生、教书育人为核心，以学为人师、行为世范为准则，以提高教师思想政治素质、职业理想和职业道德水平为重点，弘扬高尚师德，力行师德规范，强化师德教育，优化制度环境，健全师德建设长效机制，积极引导教师争做有理想信念、有道德情操、有扎实学识、有仁爱之心的“四有”好老师。激励教师投身“三教”改革、守正创新，切实承担起学校教育教学事业改革发展的重任。</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eastAsia" w:ascii="Times New Roman" w:hAnsi="Times New Roman" w:eastAsia="仿宋_GB2312" w:cs="Times New Roman"/>
          <w:sz w:val="32"/>
          <w:highlight w:val="none"/>
          <w:lang w:val="en-US" w:eastAsia="zh-CN"/>
        </w:rPr>
        <w:t xml:space="preserve">4 </w:t>
      </w:r>
      <w:r>
        <w:rPr>
          <w:rFonts w:hint="default" w:ascii="Times New Roman" w:hAnsi="Times New Roman" w:eastAsia="仿宋_GB2312" w:cs="Times New Roman"/>
          <w:sz w:val="32"/>
          <w:highlight w:val="none"/>
        </w:rPr>
        <w:t>.完善人才培育选聘、管理、激励和约束机制。通过未来3-5年的建设，完善人才培育选聘、管理、激励和约束机制，打造品德高尚、学术拔尖、教学优秀、实操卓越的师资队伍，使教师综合素养不断提升，师资结构更加合理。“十四五”末期，专任教师总数达到500人，生师比不高于18:1 ，其中硕士及以上学历（学位）教师占60％，副高级以上职称教师占30％，保证每个专业拥有数量充足、职称结构合理的师资队伍，</w:t>
      </w:r>
      <w:r>
        <w:rPr>
          <w:rFonts w:hint="default" w:ascii="Times New Roman" w:hAnsi="Times New Roman" w:eastAsia="仿宋_GB2312" w:cs="Times New Roman"/>
          <w:color w:val="auto"/>
          <w:sz w:val="32"/>
          <w:highlight w:val="none"/>
        </w:rPr>
        <w:t>确保每个专业拥有2-3位专业带头人，每门主干课程拥有2名以上骨干教师，重点专业双师型教师占比达到70%以上，建成2-3个省级及以上结构化创新型教学团队和名师工作室，建成10-20个校级名师工作室，校级教学名师10人，省级及以上学术技术带头人5人，省级及以上教学名师5人，力争在国家级教师教学能力比赛中取</w:t>
      </w:r>
      <w:r>
        <w:rPr>
          <w:rFonts w:hint="default" w:ascii="Times New Roman" w:hAnsi="Times New Roman" w:eastAsia="仿宋_GB2312" w:cs="Times New Roman"/>
          <w:sz w:val="32"/>
          <w:highlight w:val="none"/>
        </w:rPr>
        <w:t>得突破。</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w:t>
      </w:r>
      <w:r>
        <w:rPr>
          <w:rFonts w:hint="eastAsia" w:ascii="Times New Roman" w:hAnsi="Times New Roman" w:eastAsia="楷体_GB2312" w:cs="Times New Roman"/>
          <w:b/>
          <w:bCs/>
          <w:sz w:val="32"/>
          <w:highlight w:val="none"/>
          <w:lang w:val="en-US" w:eastAsia="zh-CN"/>
        </w:rPr>
        <w:t>七</w:t>
      </w:r>
      <w:r>
        <w:rPr>
          <w:rFonts w:hint="default" w:ascii="Times New Roman" w:hAnsi="Times New Roman" w:eastAsia="楷体_GB2312" w:cs="Times New Roman"/>
          <w:b/>
          <w:bCs/>
          <w:sz w:val="32"/>
          <w:highlight w:val="none"/>
        </w:rPr>
        <w:t>）传承弘扬</w:t>
      </w:r>
      <w:r>
        <w:rPr>
          <w:rFonts w:hint="eastAsia" w:ascii="Times New Roman" w:hAnsi="Times New Roman" w:eastAsia="楷体_GB2312" w:cs="Times New Roman"/>
          <w:b/>
          <w:bCs/>
          <w:sz w:val="32"/>
          <w:highlight w:val="none"/>
          <w:lang w:eastAsia="zh-CN"/>
        </w:rPr>
        <w:t>中华医药文化</w:t>
      </w:r>
      <w:r>
        <w:rPr>
          <w:rFonts w:hint="default" w:ascii="Times New Roman" w:hAnsi="Times New Roman" w:eastAsia="楷体_GB2312" w:cs="Times New Roman"/>
          <w:b/>
          <w:bCs/>
          <w:sz w:val="32"/>
          <w:highlight w:val="none"/>
        </w:rPr>
        <w:t>，发挥文化育人铸魂功能</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25</w:t>
      </w:r>
      <w:r>
        <w:rPr>
          <w:rFonts w:hint="default" w:ascii="Times New Roman" w:hAnsi="Times New Roman" w:eastAsia="仿宋_GB2312" w:cs="Times New Roman"/>
          <w:sz w:val="32"/>
          <w:highlight w:val="none"/>
        </w:rPr>
        <w:t>.传承经典，引创</w:t>
      </w:r>
      <w:r>
        <w:rPr>
          <w:rFonts w:hint="eastAsia" w:ascii="Times New Roman" w:hAnsi="Times New Roman" w:eastAsia="仿宋_GB2312" w:cs="Times New Roman"/>
          <w:sz w:val="32"/>
          <w:highlight w:val="none"/>
          <w:lang w:eastAsia="zh-CN"/>
        </w:rPr>
        <w:t>中华医药文化</w:t>
      </w:r>
      <w:r>
        <w:rPr>
          <w:rFonts w:hint="default" w:ascii="Times New Roman" w:hAnsi="Times New Roman" w:eastAsia="仿宋_GB2312" w:cs="Times New Roman"/>
          <w:sz w:val="32"/>
          <w:highlight w:val="none"/>
        </w:rPr>
        <w:t>郑医品牌。学校扎根岐黄文化发源地－新密，有着得天独厚的</w:t>
      </w:r>
      <w:r>
        <w:rPr>
          <w:rFonts w:hint="eastAsia" w:ascii="Times New Roman" w:hAnsi="Times New Roman" w:eastAsia="仿宋_GB2312" w:cs="Times New Roman"/>
          <w:sz w:val="32"/>
          <w:highlight w:val="none"/>
          <w:lang w:eastAsia="zh-CN"/>
        </w:rPr>
        <w:t>中华医药文化</w:t>
      </w:r>
      <w:r>
        <w:rPr>
          <w:rFonts w:hint="default" w:ascii="Times New Roman" w:hAnsi="Times New Roman" w:eastAsia="仿宋_GB2312" w:cs="Times New Roman"/>
          <w:sz w:val="32"/>
          <w:highlight w:val="none"/>
        </w:rPr>
        <w:t>优势，本着坚持传承与创新相结合的原则，厚植中医药发展优势，培育中医药科技力量，不断挖掘指导老师的学术思想及临床经验，开展名老中医药专家学术思想研讨会、培训班等，定期举办“岐黄文化发展论坛”、“中医经典导读”等活动，筹建“岐黄文化展览馆”，打造“郑州医药健康职业学院许敬生教授名师工作室”</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以讲好中医药故事为目标引领，充分发挥中医药“根文化”资源优势，弘扬</w:t>
      </w:r>
      <w:r>
        <w:rPr>
          <w:rFonts w:hint="eastAsia" w:ascii="Times New Roman" w:hAnsi="Times New Roman" w:eastAsia="仿宋_GB2312" w:cs="Times New Roman"/>
          <w:sz w:val="32"/>
          <w:highlight w:val="none"/>
          <w:lang w:eastAsia="zh-CN"/>
        </w:rPr>
        <w:t>中华医药文化</w:t>
      </w:r>
      <w:r>
        <w:rPr>
          <w:rFonts w:hint="default" w:ascii="Times New Roman" w:hAnsi="Times New Roman" w:eastAsia="仿宋_GB2312" w:cs="Times New Roman"/>
          <w:sz w:val="32"/>
          <w:highlight w:val="none"/>
        </w:rPr>
        <w:t>精神，传播</w:t>
      </w:r>
      <w:r>
        <w:rPr>
          <w:rFonts w:hint="eastAsia" w:ascii="Times New Roman" w:hAnsi="Times New Roman" w:eastAsia="仿宋_GB2312" w:cs="Times New Roman"/>
          <w:sz w:val="32"/>
          <w:highlight w:val="none"/>
          <w:lang w:eastAsia="zh-CN"/>
        </w:rPr>
        <w:t>中华医药文化</w:t>
      </w:r>
      <w:r>
        <w:rPr>
          <w:rFonts w:hint="default" w:ascii="Times New Roman" w:hAnsi="Times New Roman" w:eastAsia="仿宋_GB2312" w:cs="Times New Roman"/>
          <w:sz w:val="32"/>
          <w:highlight w:val="none"/>
        </w:rPr>
        <w:t>，积极打造具有中原风格、河南气派的中医药交流品牌，努力成为民族医药文化的挖掘者、传承者、保护者、研究者、创新者、引领者。</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26</w:t>
      </w:r>
      <w:r>
        <w:rPr>
          <w:rFonts w:hint="default" w:ascii="Times New Roman" w:hAnsi="Times New Roman" w:eastAsia="仿宋_GB2312" w:cs="Times New Roman"/>
          <w:sz w:val="32"/>
          <w:highlight w:val="none"/>
        </w:rPr>
        <w:t>.创新学校文化品格，发挥文化育人铸魂功能。以社会主义核心价值观为引领，以“文明校园”建设为抓手，以“文明礼仪活动月”为载体，将中华优秀传统文化、红色文化、民族传统体育文化、岐黄文化、校史校情融入到校园建设、景观设计等环境提升工程中去，着力打造“平安、文明、绿色、健康”校园。在校园文化品格塑造的过程中，展现学校人文精神，激发学生的热情，震撼学生的心灵。注重人文关怀和文化育人，坚持学生主体地位，促进学生积极参与文化活动的积极性和主观能动性，提升学校文化活动的思想内涵以及文化品位，使得校园文化活动能够有效支撑和满足学生的心智发展以及成长需求，促进学生的综合发展，更好地实现高校培养人的功能。</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w:t>
      </w:r>
      <w:r>
        <w:rPr>
          <w:rFonts w:hint="eastAsia" w:ascii="Times New Roman" w:hAnsi="Times New Roman" w:eastAsia="楷体_GB2312" w:cs="Times New Roman"/>
          <w:b/>
          <w:bCs/>
          <w:sz w:val="32"/>
          <w:highlight w:val="none"/>
          <w:lang w:val="en-US" w:eastAsia="zh-CN"/>
        </w:rPr>
        <w:t>八</w:t>
      </w:r>
      <w:r>
        <w:rPr>
          <w:rFonts w:hint="default" w:ascii="Times New Roman" w:hAnsi="Times New Roman" w:eastAsia="楷体_GB2312" w:cs="Times New Roman"/>
          <w:b/>
          <w:bCs/>
          <w:sz w:val="32"/>
          <w:highlight w:val="none"/>
        </w:rPr>
        <w:t>）拓宽办学渠道，增强办学活力，提高办学效益</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27</w:t>
      </w:r>
      <w:r>
        <w:rPr>
          <w:rFonts w:hint="default" w:ascii="Times New Roman" w:hAnsi="Times New Roman" w:eastAsia="仿宋_GB2312" w:cs="Times New Roman"/>
          <w:sz w:val="32"/>
          <w:highlight w:val="none"/>
        </w:rPr>
        <w:t>.办好</w:t>
      </w:r>
      <w:r>
        <w:rPr>
          <w:rFonts w:hint="default" w:ascii="Times New Roman" w:hAnsi="Times New Roman" w:eastAsia="仿宋_GB2312" w:cs="Times New Roman"/>
          <w:color w:val="auto"/>
          <w:sz w:val="32"/>
          <w:highlight w:val="none"/>
        </w:rPr>
        <w:t>中等职业</w:t>
      </w:r>
      <w:r>
        <w:rPr>
          <w:rFonts w:hint="default" w:ascii="Times New Roman" w:hAnsi="Times New Roman" w:eastAsia="仿宋_GB2312" w:cs="Times New Roman"/>
          <w:sz w:val="32"/>
          <w:highlight w:val="none"/>
        </w:rPr>
        <w:t>教育、继续教育和职业技能培训。在保持原有中职办学优势的基础上，进一步总结办学经验，改善办学条件，提高办学质量和水平。积极开展继续教育，充分利用信息化技术，通过线上线下为社会培养更多大健康服务人才。落实省委“人人持证、技能河南”要求，开展好技术技能培训和技术认证工作，为我省经济社会发展作出应有贡献。</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28</w:t>
      </w:r>
      <w:r>
        <w:rPr>
          <w:rFonts w:hint="default" w:ascii="Times New Roman" w:hAnsi="Times New Roman" w:eastAsia="仿宋_GB2312" w:cs="Times New Roman"/>
          <w:sz w:val="32"/>
          <w:highlight w:val="none"/>
        </w:rPr>
        <w:t>.主动融入健康河南建设、技能河南建设和郑州国家中心城市建设大局。积极服务新型城镇化、乡村振兴、黄河流域生态保护和高质量发展、中部地区高质量发展、全民健康等国家战略，充分发挥学校在医药卫生和健康服务人才培养、科学研究、社会服务、</w:t>
      </w:r>
      <w:r>
        <w:rPr>
          <w:rFonts w:hint="eastAsia" w:ascii="Times New Roman" w:hAnsi="Times New Roman" w:eastAsia="仿宋_GB2312" w:cs="Times New Roman"/>
          <w:sz w:val="32"/>
          <w:highlight w:val="none"/>
          <w:lang w:eastAsia="zh-CN"/>
        </w:rPr>
        <w:t>中华医药文化</w:t>
      </w:r>
      <w:r>
        <w:rPr>
          <w:rFonts w:hint="default" w:ascii="Times New Roman" w:hAnsi="Times New Roman" w:eastAsia="仿宋_GB2312" w:cs="Times New Roman"/>
          <w:sz w:val="32"/>
          <w:highlight w:val="none"/>
        </w:rPr>
        <w:t>传承创新方面的功能作用。以职业技术技能培养模式改革为契机，加强与各级各类医院、药企、康养中心合作，深入推动校园（企）合作落到实处，实现高质量可持续发展。</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w:t>
      </w:r>
      <w:r>
        <w:rPr>
          <w:rFonts w:hint="eastAsia" w:ascii="Times New Roman" w:hAnsi="Times New Roman" w:eastAsia="仿宋_GB2312" w:cs="Times New Roman"/>
          <w:sz w:val="32"/>
          <w:highlight w:val="none"/>
          <w:lang w:val="en-US" w:eastAsia="zh-CN"/>
        </w:rPr>
        <w:t>9</w:t>
      </w:r>
      <w:r>
        <w:rPr>
          <w:rFonts w:hint="default" w:ascii="Times New Roman" w:hAnsi="Times New Roman" w:eastAsia="仿宋_GB2312" w:cs="Times New Roman"/>
          <w:sz w:val="32"/>
          <w:highlight w:val="none"/>
        </w:rPr>
        <w:t>.加强对外交流合作。以“河南省国际化特色高校建设工程”为指引，深入推进中外合作办学项目，开展职业技能教育培训工作，开辟办学的新途径新领域，不断提升学校国际化办学水平。加大师生出国（境）交流学习力度，选派学校骨干教师赴国（境）外考察、调研、培训、学习；开展学生出国交流访学、实习或就业，不断拓展师生国际视野；积极组织国外高校学生来校参观、互访和开展文化交流，扩大学校的国际影响力和知名度。到2025年建成国际合作与交流特色突出、综合排名省内领先的国际化特色院校。</w:t>
      </w:r>
    </w:p>
    <w:p>
      <w:pPr>
        <w:spacing w:line="560" w:lineRule="exact"/>
        <w:ind w:firstLine="640"/>
        <w:jc w:val="both"/>
        <w:outlineLvl w:val="1"/>
        <w:rPr>
          <w:rFonts w:hint="default" w:ascii="Times New Roman" w:hAnsi="Times New Roman" w:eastAsia="楷体_GB2312" w:cs="Times New Roman"/>
          <w:b/>
          <w:bCs/>
          <w:sz w:val="32"/>
          <w:highlight w:val="none"/>
          <w:lang w:val="en-US" w:eastAsia="zh-CN"/>
        </w:rPr>
      </w:pPr>
      <w:r>
        <w:rPr>
          <w:rFonts w:hint="default" w:ascii="Times New Roman" w:hAnsi="Times New Roman" w:eastAsia="楷体_GB2312" w:cs="Times New Roman"/>
          <w:b/>
          <w:bCs/>
          <w:sz w:val="32"/>
          <w:highlight w:val="none"/>
        </w:rPr>
        <w:t>（九）</w:t>
      </w:r>
      <w:r>
        <w:rPr>
          <w:rFonts w:hint="eastAsia" w:ascii="Times New Roman" w:hAnsi="Times New Roman" w:eastAsia="楷体_GB2312" w:cs="Times New Roman"/>
          <w:b/>
          <w:bCs/>
          <w:sz w:val="32"/>
          <w:highlight w:val="none"/>
          <w:lang w:val="en-US" w:eastAsia="zh-CN"/>
        </w:rPr>
        <w:t>完善就业创业工作机制</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30.</w:t>
      </w:r>
      <w:r>
        <w:rPr>
          <w:rFonts w:hint="default" w:ascii="Times New Roman" w:hAnsi="Times New Roman" w:eastAsia="仿宋_GB2312" w:cs="Times New Roman"/>
          <w:sz w:val="32"/>
          <w:highlight w:val="none"/>
        </w:rPr>
        <w:t>深化创新创业教育改革</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将毕业生就业作为立德树人的重要环节，不断健全“就业思政”工作体系，引导青年学生树立远大职业理想，到祖国需要的地方建功立业。充实师资、改革教法、完善实践、因材施教，促进专业教育与创新创业教育有机融合，将创新创业教育融入人才培养全过程，全体学生、全体教师参与，重点培养学生的创新精神、创业意识和创新创业能力，积极推行精准化就业项目，创新性办好大学生职业生涯规划大赛，鼓励学生参加各类创新创业实践活动和大赛，不断提升学生就业创业能力，确保年均就业率达95%以上。“十四五”末期，实现在校生总体规模10000人左右，力争保持100%的录取率和90%以上的报到率。</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w:t>
      </w:r>
      <w:r>
        <w:rPr>
          <w:rFonts w:hint="eastAsia" w:ascii="Times New Roman" w:hAnsi="Times New Roman" w:eastAsia="楷体_GB2312" w:cs="Times New Roman"/>
          <w:b/>
          <w:bCs/>
          <w:sz w:val="32"/>
          <w:highlight w:val="none"/>
          <w:lang w:val="en-US" w:eastAsia="zh-CN"/>
        </w:rPr>
        <w:t>十</w:t>
      </w:r>
      <w:r>
        <w:rPr>
          <w:rFonts w:hint="default" w:ascii="Times New Roman" w:hAnsi="Times New Roman" w:eastAsia="楷体_GB2312" w:cs="Times New Roman"/>
          <w:b/>
          <w:bCs/>
          <w:sz w:val="32"/>
          <w:highlight w:val="none"/>
        </w:rPr>
        <w:t>）多措并举夯实保障基础，固本强能提升服务水平</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31</w:t>
      </w:r>
      <w:r>
        <w:rPr>
          <w:rFonts w:hint="default" w:ascii="Times New Roman" w:hAnsi="Times New Roman" w:eastAsia="仿宋_GB2312" w:cs="Times New Roman"/>
          <w:sz w:val="32"/>
          <w:highlight w:val="none"/>
        </w:rPr>
        <w:t>.开源节流，优化学校事业经费结构。</w:t>
      </w:r>
      <w:r>
        <w:rPr>
          <w:rFonts w:hint="default" w:ascii="Times New Roman" w:hAnsi="Times New Roman" w:eastAsia="仿宋_GB2312" w:cs="Times New Roman"/>
          <w:color w:val="auto"/>
          <w:sz w:val="32"/>
          <w:highlight w:val="none"/>
        </w:rPr>
        <w:t>加大财政政策研究力度，多措并举、多点发力，积极争取事业发展经费。</w:t>
      </w:r>
      <w:r>
        <w:rPr>
          <w:rFonts w:hint="default" w:ascii="Times New Roman" w:hAnsi="Times New Roman" w:eastAsia="仿宋_GB2312" w:cs="Times New Roman"/>
          <w:sz w:val="32"/>
          <w:highlight w:val="none"/>
        </w:rPr>
        <w:t>按照开源节流的原则，优化财务支出结构。保障人员经费，逐年提升教职工薪资待遇，提升教职工获得感、幸福感；打紧扣严运转经费，强化预算刚性约束；用好发展经费，确保学校的良性运转，力争做到一年一小变，三年一大变，五年实现质的飞跃。以学校继续教育和职业技能培训的开展为突破口，提升经营创收能力。</w:t>
      </w:r>
      <w:r>
        <w:rPr>
          <w:rFonts w:hint="default" w:ascii="Times New Roman" w:hAnsi="Times New Roman" w:eastAsia="仿宋_GB2312" w:cs="Times New Roman"/>
          <w:color w:val="auto"/>
          <w:sz w:val="32"/>
          <w:highlight w:val="none"/>
        </w:rPr>
        <w:t>整合学校康复、护理专业资源和新密市养老院、超化镇卫生院（</w:t>
      </w:r>
      <w:r>
        <w:rPr>
          <w:rFonts w:hint="default" w:ascii="Times New Roman" w:hAnsi="Times New Roman" w:eastAsia="仿宋_GB2312" w:cs="Times New Roman"/>
          <w:sz w:val="32"/>
          <w:highlight w:val="none"/>
        </w:rPr>
        <w:t>在建）资源，适时建立学校附属康养中心和医院。实现教医养的初步成果。</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32</w:t>
      </w:r>
      <w:r>
        <w:rPr>
          <w:rFonts w:hint="default" w:ascii="Times New Roman" w:hAnsi="Times New Roman" w:eastAsia="仿宋_GB2312" w:cs="Times New Roman"/>
          <w:sz w:val="32"/>
          <w:highlight w:val="none"/>
        </w:rPr>
        <w:t>.持续加大教学、实训、科研、民生等基础性设施投入力度。不断提升教研室、实验室、实训室、图书馆、餐厅、宿舍及各类场馆设施的软硬件水平。完成二期行政楼、图书馆、操场和三期配套设施建设工作，启动校园环境综合提升工程。</w:t>
      </w:r>
      <w:r>
        <w:rPr>
          <w:rFonts w:hint="default" w:ascii="Times New Roman" w:hAnsi="Times New Roman" w:eastAsia="仿宋_GB2312" w:cs="Times New Roman"/>
          <w:color w:val="000000"/>
          <w:sz w:val="32"/>
          <w:highlight w:val="none"/>
        </w:rPr>
        <w:t>到</w:t>
      </w:r>
      <w:r>
        <w:rPr>
          <w:rFonts w:hint="default" w:ascii="Times New Roman" w:hAnsi="Times New Roman" w:eastAsia="仿宋_GB2312" w:cs="Times New Roman"/>
          <w:sz w:val="32"/>
          <w:highlight w:val="none"/>
        </w:rPr>
        <w:t>2025</w:t>
      </w:r>
      <w:r>
        <w:rPr>
          <w:rFonts w:hint="default" w:ascii="Times New Roman" w:hAnsi="Times New Roman" w:eastAsia="仿宋_GB2312" w:cs="Times New Roman"/>
          <w:color w:val="000000"/>
          <w:sz w:val="32"/>
          <w:highlight w:val="none"/>
        </w:rPr>
        <w:t>年，学校校舍建筑面积达到</w:t>
      </w:r>
      <w:r>
        <w:rPr>
          <w:rFonts w:hint="default" w:ascii="Times New Roman" w:hAnsi="Times New Roman" w:eastAsia="仿宋_GB2312" w:cs="Times New Roman"/>
          <w:sz w:val="32"/>
          <w:highlight w:val="none"/>
        </w:rPr>
        <w:t>30</w:t>
      </w:r>
      <w:r>
        <w:rPr>
          <w:rFonts w:hint="default" w:ascii="Times New Roman" w:hAnsi="Times New Roman" w:eastAsia="仿宋_GB2312" w:cs="Times New Roman"/>
          <w:color w:val="000000"/>
          <w:sz w:val="32"/>
          <w:highlight w:val="none"/>
        </w:rPr>
        <w:t>万平方米，教学科研仪器设备总值达到</w:t>
      </w:r>
      <w:r>
        <w:rPr>
          <w:rFonts w:hint="default" w:ascii="Times New Roman" w:hAnsi="Times New Roman" w:eastAsia="仿宋_GB2312" w:cs="Times New Roman"/>
          <w:sz w:val="32"/>
          <w:highlight w:val="none"/>
        </w:rPr>
        <w:t>1</w:t>
      </w:r>
      <w:r>
        <w:rPr>
          <w:rFonts w:hint="default" w:ascii="Times New Roman" w:hAnsi="Times New Roman" w:eastAsia="仿宋_GB2312" w:cs="Times New Roman"/>
          <w:color w:val="000000"/>
          <w:sz w:val="32"/>
          <w:highlight w:val="none"/>
        </w:rPr>
        <w:t>亿元以上，图书达</w:t>
      </w:r>
      <w:r>
        <w:rPr>
          <w:rFonts w:hint="default" w:ascii="Times New Roman" w:hAnsi="Times New Roman" w:eastAsia="仿宋_GB2312" w:cs="Times New Roman"/>
          <w:sz w:val="32"/>
          <w:highlight w:val="none"/>
        </w:rPr>
        <w:t>100</w:t>
      </w:r>
      <w:r>
        <w:rPr>
          <w:rFonts w:hint="default" w:ascii="Times New Roman" w:hAnsi="Times New Roman" w:eastAsia="仿宋_GB2312" w:cs="Times New Roman"/>
          <w:color w:val="000000"/>
          <w:sz w:val="32"/>
          <w:highlight w:val="none"/>
        </w:rPr>
        <w:t>万册。</w:t>
      </w:r>
      <w:r>
        <w:rPr>
          <w:rFonts w:hint="default" w:ascii="Times New Roman" w:hAnsi="Times New Roman" w:eastAsia="仿宋_GB2312" w:cs="Times New Roman"/>
          <w:sz w:val="32"/>
          <w:highlight w:val="none"/>
        </w:rPr>
        <w:t>加大民生工程投入力度，为师生工作、学习、生活创造良好条件，增强师生的获得感、幸福感、归属感。</w:t>
      </w:r>
    </w:p>
    <w:p>
      <w:pPr>
        <w:spacing w:line="560" w:lineRule="exact"/>
        <w:ind w:firstLine="640"/>
        <w:jc w:val="both"/>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33</w:t>
      </w:r>
      <w:r>
        <w:rPr>
          <w:rFonts w:hint="default" w:ascii="Times New Roman" w:hAnsi="Times New Roman" w:eastAsia="仿宋_GB2312" w:cs="Times New Roman"/>
          <w:sz w:val="32"/>
          <w:highlight w:val="none"/>
        </w:rPr>
        <w:t>.推进后勤服务保障体系改革。改革后勤管理模式，加强管理队伍建设，引入服务竞争机制，积极推进后勤服务的社会化和规范化。做好后勤的招标采购工作，加强成本核算和财务监管，完善绩效评价机制。推进后勤管理信息化建设，全面提升后勤服务保障能力。</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w:t>
      </w: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实施智慧校园提升工程。以智慧校园建设为抓手，加强顶层设计和统筹协调，推进“一网通办”数字平台建设，实现信息系统和各类数据互联共享，构建一体化智能化教学、管理与服务平台。健全网络安全、项目建设、数据管理逐级负责机制，完善信息化治理体系。加快推动校园网升级改造，实现有线网络、无线网络和5G网络全覆盖。</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w:t>
      </w: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建好用好“融媒体中心”，打造全媒体宣传平台，管好主阵地，唱响主旋律，传递“郑医声音”。扎实做好“文明校园”创建工作，推动精神文明建设再上新台阶。加强校园媒体、讲座、报告会、课堂等阵地监督管理，坚决抵御和防范宗教向校园渗透。</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3</w:t>
      </w: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扎实做好平安校园建设各项工作，全面推进安全风险辨识管控与隐患排查治理双重预防体系建设，强化风险排查，加大隐患治理，建立健全安全管理长效机制和突发事件应急预案。持续提升人防、物防、技防工作水平。统筹做好防疫、消防、校舍、交通、食品、危险化学品、反恐、扫黑除恶、网络以及校园欺凌等重点领域的综合治理，确保校园安全稳定。</w:t>
      </w:r>
    </w:p>
    <w:p>
      <w:pPr>
        <w:spacing w:line="560" w:lineRule="exact"/>
        <w:ind w:firstLine="640"/>
        <w:jc w:val="both"/>
        <w:outlineLvl w:val="0"/>
        <w:rPr>
          <w:rFonts w:hint="default" w:ascii="Times New Roman" w:hAnsi="Times New Roman" w:eastAsia="黑体" w:cs="Times New Roman"/>
          <w:sz w:val="32"/>
          <w:highlight w:val="none"/>
        </w:rPr>
      </w:pPr>
      <w:r>
        <w:rPr>
          <w:rFonts w:hint="default" w:ascii="Times New Roman" w:hAnsi="Times New Roman" w:eastAsia="黑体" w:cs="Times New Roman"/>
          <w:sz w:val="32"/>
          <w:highlight w:val="none"/>
        </w:rPr>
        <w:t>六、保障举措</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（一）明确责任分工</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学校主要领导对《规划》实施负总责、班子成员对《规划》实施分工负责。在规划落实的过程中，切实发挥理事会的科学决策和校党委政治核心作用，做好顶层设计。学校办公室负责对规划实施统筹协调，并对各项目标任务进行责任分解。各部门</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各单位根据《规划》总体要求，结合自身职责，负责制定《师资队伍建设“十四五”专项规划》《专业建设“十四五”专项规划》《校园环境建设“十四五”专项规划》《“十四五”行动计划》，并抓好目标任务的具体落实。</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（二）优化资源配置</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坚持目标任务导向，以2021年“基础建设年”、2022年“管理建设年”、2023年“质量提升年”、2024年“合格评估年”、2025年“双高建设年”为抓手，统筹强化人财物保障，突出重点、把握关键、精准发力，保民生、保运转、促发展，推动办学资源合理优化配置。完善激励约束机制，奖励先进、鞭策后进，根据事业改革发展需要和目标任务完成情况，动态调整资源配置，保证资源供给与发展需求相协调。</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（三）注重宣传引导</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通过会议动员、专题学习、座谈交流、媒介传播等形式，加大《规划》宣传力度，引导广大师生深入学习规划内容和主要精神，深刻理解学校的目标定位和战略部署，增强对学校“十四五”时期的发展思路、奋斗目标、战略任务的认同感，使规划执行过程成为凝聚人心、群策群力、共谋发展的过程。通过广泛宣传动员让上级部门和社会各界了解、关心、帮助、支持学校事业改革发展，为《规划》的顺利实施营造良好的内外部环境。</w:t>
      </w:r>
    </w:p>
    <w:p>
      <w:pPr>
        <w:spacing w:line="560" w:lineRule="exact"/>
        <w:ind w:firstLine="640"/>
        <w:jc w:val="both"/>
        <w:outlineLvl w:val="1"/>
        <w:rPr>
          <w:rFonts w:hint="default" w:ascii="Times New Roman" w:hAnsi="Times New Roman" w:eastAsia="楷体_GB2312" w:cs="Times New Roman"/>
          <w:b/>
          <w:bCs/>
          <w:sz w:val="32"/>
          <w:highlight w:val="none"/>
        </w:rPr>
      </w:pPr>
      <w:r>
        <w:rPr>
          <w:rFonts w:hint="default" w:ascii="Times New Roman" w:hAnsi="Times New Roman" w:eastAsia="楷体_GB2312" w:cs="Times New Roman"/>
          <w:b/>
          <w:bCs/>
          <w:sz w:val="32"/>
          <w:highlight w:val="none"/>
        </w:rPr>
        <w:t>（四）加强监督考核</w:t>
      </w: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学校党委定期或不定期地对《规划》落实情况进行监督检查，对各部门各项目标任务完成情况和工作中存在的问题进行研判评估。每年召开教职工代表大会和学生代表大会，通报《规划》实施情况，广泛征求意见建议。学术委员会针对《规划》实施中的重要学术事项提出意见建议。《规划》中的目标任务完成情况将作为各级领导班子和干部考核的重要内容。</w:t>
      </w:r>
    </w:p>
    <w:p>
      <w:pPr>
        <w:spacing w:line="560" w:lineRule="exact"/>
        <w:ind w:firstLine="640"/>
        <w:jc w:val="both"/>
        <w:rPr>
          <w:rFonts w:hint="default" w:ascii="Times New Roman" w:hAnsi="Times New Roman" w:eastAsia="仿宋_GB2312" w:cs="Times New Roman"/>
          <w:sz w:val="32"/>
          <w:highlight w:val="none"/>
        </w:rPr>
      </w:pPr>
    </w:p>
    <w:p>
      <w:pPr>
        <w:spacing w:line="560" w:lineRule="exact"/>
        <w:ind w:firstLine="640"/>
        <w:jc w:val="both"/>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“十四五”时期是我校夯实基础，高起点办学，高水平治校，高质量发展，弯道超车的重要时期</w:t>
      </w:r>
      <w:r>
        <w:rPr>
          <w:rFonts w:hint="eastAsia"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rPr>
        <w:t>全校上下统一思想建设，凝聚发展共识，聚焦服务新时代“健康中国”战略和“健康中原”战略，凝心聚力、接续奋斗、攻坚克难、创新发展，奋力开启特色高水平医药类高等职业院校建设新征程！</w:t>
      </w:r>
    </w:p>
    <w:p>
      <w:r>
        <w:rPr>
          <w:rFonts w:ascii="仿宋_GB2312" w:hAnsi="仿宋" w:eastAsia="仿宋_GB2312" w:cs="仿宋"/>
          <w:color w:val="000000"/>
          <w:spacing w:val="-8"/>
          <w:kern w:val="0"/>
          <w:sz w:val="32"/>
          <w:szCs w:val="32"/>
          <w:highlight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E6F61A-EE0A-4CD3-8662-4835F92EA1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F0C0D759-925E-4AA3-8C33-1B7DE6399F85}"/>
  </w:font>
  <w:font w:name="仿宋_GB2312">
    <w:panose1 w:val="02010609030101010101"/>
    <w:charset w:val="86"/>
    <w:family w:val="modern"/>
    <w:pitch w:val="default"/>
    <w:sig w:usb0="00000001" w:usb1="080E0000" w:usb2="00000000" w:usb3="00000000" w:csb0="00040000" w:csb1="00000000"/>
    <w:embedRegular r:id="rId3" w:fontKey="{6A29F774-5451-4915-9C28-F2275166FE05}"/>
  </w:font>
  <w:font w:name="方正小标宋简体">
    <w:panose1 w:val="02000000000000000000"/>
    <w:charset w:val="86"/>
    <w:family w:val="script"/>
    <w:pitch w:val="default"/>
    <w:sig w:usb0="00000001" w:usb1="080E0000" w:usb2="00000000" w:usb3="00000000" w:csb0="00040000" w:csb1="00000000"/>
    <w:embedRegular r:id="rId4" w:fontKey="{7F5D6EF5-273A-4E6B-9B13-9B5E4A625C8D}"/>
  </w:font>
  <w:font w:name="楷体_GB2312">
    <w:panose1 w:val="02010609030101010101"/>
    <w:charset w:val="86"/>
    <w:family w:val="auto"/>
    <w:pitch w:val="default"/>
    <w:sig w:usb0="00000001" w:usb1="080E0000" w:usb2="00000000" w:usb3="00000000" w:csb0="00040000" w:csb1="00000000"/>
    <w:embedRegular r:id="rId5" w:fontKey="{0555ADEB-3790-4014-BD1A-3C0C65A01473}"/>
  </w:font>
  <w:font w:name="仿宋">
    <w:panose1 w:val="02010609060101010101"/>
    <w:charset w:val="86"/>
    <w:family w:val="modern"/>
    <w:pitch w:val="default"/>
    <w:sig w:usb0="800002BF" w:usb1="38CF7CFA" w:usb2="00000016" w:usb3="00000000" w:csb0="00040001" w:csb1="00000000"/>
    <w:embedRegular r:id="rId6" w:fontKey="{F8DACD6A-4BF5-45C4-B132-9C1248ECA8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M1NzBkMDkxNmFlNGZiMThjYjcyYjc3ZDNjZTQifQ=="/>
  </w:docVars>
  <w:rsids>
    <w:rsidRoot w:val="790B7680"/>
    <w:rsid w:val="790B7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06"/>
    </w:pPr>
    <w:rPr>
      <w:rFonts w:ascii="仿宋_GB2312" w:hAnsi="仿宋_GB2312" w:eastAsia="仿宋_GB2312" w:cs="仿宋_GB2312"/>
      <w:sz w:val="32"/>
      <w:szCs w:val="32"/>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2023-11-09T06:37:00Z</dcterms:created>
  <dc:creator>LX</dc:creator>
  <cp:lastModifiedBy>LX</cp:lastModifiedBy>
  <dcterms:modified xsi:type="dcterms:W3CDTF">2023-11-09T06:39:23Z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58C0FDD4CA9A4E73A63545A04E9B0D74_11</vt:lpwstr>
  </property>
</Properties>
</file>